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5E4DB2" w14:textId="124A0431" w:rsidR="006E589C" w:rsidRDefault="006E589C" w:rsidP="006E589C">
      <w:pPr>
        <w:pStyle w:val="3GPPHeader"/>
        <w:spacing w:after="60"/>
        <w:rPr>
          <w:rFonts w:eastAsiaTheme="minorEastAsia"/>
          <w:sz w:val="32"/>
          <w:szCs w:val="32"/>
          <w:highlight w:val="yellow"/>
        </w:rPr>
      </w:pPr>
      <w:r>
        <w:softHyphen/>
        <w:t>3GPP TSG-RAN WG1 Meeting #10</w:t>
      </w:r>
      <w:r w:rsidR="00B51FDA">
        <w:t>5-</w:t>
      </w:r>
      <w:r>
        <w:t>e</w:t>
      </w:r>
      <w:r>
        <w:tab/>
      </w:r>
      <w:r>
        <w:rPr>
          <w:sz w:val="32"/>
          <w:szCs w:val="32"/>
        </w:rPr>
        <w:t>R1-</w:t>
      </w:r>
      <w:r w:rsidRPr="00630840">
        <w:t xml:space="preserve"> </w:t>
      </w:r>
      <w:r w:rsidR="009E1528" w:rsidRPr="00B51296">
        <w:rPr>
          <w:sz w:val="32"/>
          <w:szCs w:val="32"/>
        </w:rPr>
        <w:t>2104403</w:t>
      </w:r>
      <w:r w:rsidR="009E1528" w:rsidRPr="00630840" w:rsidDel="009E1528">
        <w:rPr>
          <w:sz w:val="32"/>
          <w:szCs w:val="32"/>
        </w:rPr>
        <w:t xml:space="preserve"> </w:t>
      </w:r>
    </w:p>
    <w:p w14:paraId="77D78AE4" w14:textId="0E14E846" w:rsidR="006E589C" w:rsidRDefault="006E589C" w:rsidP="006E589C">
      <w:pPr>
        <w:pStyle w:val="3GPPHeader"/>
      </w:pPr>
      <w:r>
        <w:t xml:space="preserve">e-Meeting, </w:t>
      </w:r>
      <w:r w:rsidR="0077330D">
        <w:t>May 1</w:t>
      </w:r>
      <w:r w:rsidR="004E22E7">
        <w:t>0</w:t>
      </w:r>
      <w:r>
        <w:rPr>
          <w:vertAlign w:val="superscript"/>
        </w:rPr>
        <w:t>th</w:t>
      </w:r>
      <w:r>
        <w:t xml:space="preserve"> – </w:t>
      </w:r>
      <w:r w:rsidR="0077330D">
        <w:t xml:space="preserve">May </w:t>
      </w:r>
      <w:r>
        <w:t>2</w:t>
      </w:r>
      <w:r w:rsidR="008368E5">
        <w:t>7</w:t>
      </w:r>
      <w:r>
        <w:rPr>
          <w:vertAlign w:val="superscript"/>
        </w:rPr>
        <w:t>th</w:t>
      </w:r>
      <w:r>
        <w:t>, 2021</w:t>
      </w:r>
    </w:p>
    <w:p w14:paraId="22F835F4" w14:textId="77777777" w:rsidR="006E589C" w:rsidRPr="00CE0424" w:rsidRDefault="006E589C" w:rsidP="006E589C">
      <w:pPr>
        <w:pStyle w:val="3GPPHeader"/>
      </w:pPr>
    </w:p>
    <w:p w14:paraId="273AA57D" w14:textId="77777777" w:rsidR="006E589C" w:rsidRPr="006451E5" w:rsidRDefault="006E589C" w:rsidP="006E589C">
      <w:pPr>
        <w:pStyle w:val="3GPPHeader"/>
        <w:rPr>
          <w:sz w:val="22"/>
        </w:rPr>
      </w:pPr>
      <w:r w:rsidRPr="006451E5">
        <w:rPr>
          <w:sz w:val="22"/>
        </w:rPr>
        <w:t>Agenda Item:</w:t>
      </w:r>
      <w:r w:rsidRPr="006451E5">
        <w:rPr>
          <w:sz w:val="22"/>
        </w:rPr>
        <w:tab/>
        <w:t>8.15.1</w:t>
      </w:r>
    </w:p>
    <w:p w14:paraId="0FEB69B4" w14:textId="51956A8E" w:rsidR="006E589C" w:rsidRPr="00CE0424" w:rsidRDefault="006E589C" w:rsidP="006E589C">
      <w:pPr>
        <w:pStyle w:val="3GPPHeader"/>
        <w:rPr>
          <w:sz w:val="22"/>
        </w:rPr>
      </w:pPr>
      <w:r>
        <w:rPr>
          <w:sz w:val="22"/>
        </w:rPr>
        <w:t>Source:</w:t>
      </w:r>
      <w:r w:rsidRPr="00CE0424">
        <w:rPr>
          <w:sz w:val="22"/>
        </w:rPr>
        <w:tab/>
      </w:r>
      <w:r w:rsidR="0077330D">
        <w:rPr>
          <w:sz w:val="22"/>
        </w:rPr>
        <w:t>Omnispace</w:t>
      </w:r>
    </w:p>
    <w:p w14:paraId="5542E832" w14:textId="48494EE7" w:rsidR="006E589C" w:rsidRPr="00CE0424" w:rsidRDefault="006E589C" w:rsidP="006E589C">
      <w:pPr>
        <w:pStyle w:val="3GPPHeader"/>
        <w:rPr>
          <w:sz w:val="22"/>
        </w:rPr>
      </w:pPr>
      <w:r w:rsidRPr="00A34770">
        <w:rPr>
          <w:sz w:val="22"/>
        </w:rPr>
        <w:t>Title:</w:t>
      </w:r>
      <w:r w:rsidRPr="00A34770">
        <w:rPr>
          <w:sz w:val="22"/>
        </w:rPr>
        <w:tab/>
      </w:r>
      <w:r>
        <w:rPr>
          <w:sz w:val="22"/>
        </w:rPr>
        <w:t xml:space="preserve">On </w:t>
      </w:r>
      <w:r w:rsidR="00B5075B">
        <w:rPr>
          <w:sz w:val="22"/>
        </w:rPr>
        <w:t xml:space="preserve">eMTC </w:t>
      </w:r>
      <w:r w:rsidR="007035F5">
        <w:rPr>
          <w:sz w:val="22"/>
        </w:rPr>
        <w:t>E</w:t>
      </w:r>
      <w:r w:rsidR="00B5075B">
        <w:rPr>
          <w:sz w:val="22"/>
        </w:rPr>
        <w:t>nabling</w:t>
      </w:r>
      <w:r w:rsidR="00070EB1">
        <w:rPr>
          <w:sz w:val="22"/>
        </w:rPr>
        <w:t xml:space="preserve"> High Value NTN IoT </w:t>
      </w:r>
      <w:r w:rsidR="007035F5">
        <w:rPr>
          <w:sz w:val="22"/>
        </w:rPr>
        <w:t>U</w:t>
      </w:r>
      <w:r w:rsidR="009575F9">
        <w:rPr>
          <w:sz w:val="22"/>
        </w:rPr>
        <w:t>se-cases for</w:t>
      </w:r>
      <w:r w:rsidR="00070EB1">
        <w:rPr>
          <w:sz w:val="22"/>
        </w:rPr>
        <w:t xml:space="preserve"> Rel</w:t>
      </w:r>
      <w:r w:rsidR="009575F9">
        <w:rPr>
          <w:sz w:val="22"/>
        </w:rPr>
        <w:t>-</w:t>
      </w:r>
      <w:r w:rsidR="00070EB1">
        <w:rPr>
          <w:sz w:val="22"/>
        </w:rPr>
        <w:t>17</w:t>
      </w:r>
    </w:p>
    <w:p w14:paraId="02D29CC9" w14:textId="77777777" w:rsidR="006E589C" w:rsidRPr="00E411DE" w:rsidRDefault="006E589C" w:rsidP="006E589C">
      <w:pPr>
        <w:pStyle w:val="3GPPHeader"/>
        <w:rPr>
          <w:sz w:val="22"/>
        </w:rPr>
      </w:pPr>
      <w:r w:rsidRPr="00CE0424">
        <w:rPr>
          <w:sz w:val="22"/>
        </w:rPr>
        <w:t>Document for:</w:t>
      </w:r>
      <w:r w:rsidRPr="00CE0424">
        <w:rPr>
          <w:sz w:val="22"/>
        </w:rPr>
        <w:tab/>
      </w:r>
      <w:r w:rsidRPr="00E1287F">
        <w:rPr>
          <w:sz w:val="22"/>
        </w:rPr>
        <w:t>Discussion</w:t>
      </w:r>
    </w:p>
    <w:p w14:paraId="64D57D98" w14:textId="77777777" w:rsidR="006E589C" w:rsidRPr="00CE0424" w:rsidRDefault="006E589C" w:rsidP="006E589C">
      <w:pPr>
        <w:pStyle w:val="Heading1"/>
      </w:pPr>
      <w:r>
        <w:t>1</w:t>
      </w:r>
      <w:r>
        <w:tab/>
      </w:r>
      <w:r w:rsidRPr="00CE0424">
        <w:t>Introduction</w:t>
      </w:r>
    </w:p>
    <w:p w14:paraId="708E3E10" w14:textId="72117886" w:rsidR="00411CE0" w:rsidRDefault="004524EC" w:rsidP="006E589C">
      <w:pPr>
        <w:pStyle w:val="BodyText"/>
        <w:rPr>
          <w:rFonts w:cs="Arial"/>
          <w:sz w:val="22"/>
        </w:rPr>
      </w:pPr>
      <w:r w:rsidRPr="004524EC">
        <w:rPr>
          <w:rFonts w:cs="Arial"/>
          <w:sz w:val="22"/>
        </w:rPr>
        <w:t xml:space="preserve">In this </w:t>
      </w:r>
      <w:r w:rsidRPr="00E731A9">
        <w:rPr>
          <w:rFonts w:cs="Arial"/>
          <w:sz w:val="22"/>
        </w:rPr>
        <w:t>contribution</w:t>
      </w:r>
      <w:r w:rsidR="008D18A3">
        <w:rPr>
          <w:rFonts w:cs="Arial"/>
          <w:sz w:val="22"/>
        </w:rPr>
        <w:t xml:space="preserve">, </w:t>
      </w:r>
      <w:r w:rsidR="008D18A3" w:rsidRPr="00E731A9">
        <w:rPr>
          <w:rFonts w:cs="Arial"/>
          <w:sz w:val="22"/>
        </w:rPr>
        <w:t xml:space="preserve">we </w:t>
      </w:r>
      <w:r w:rsidR="008D18A3">
        <w:rPr>
          <w:rFonts w:cs="Arial"/>
          <w:sz w:val="22"/>
        </w:rPr>
        <w:t xml:space="preserve">will </w:t>
      </w:r>
      <w:r w:rsidR="008D18A3" w:rsidRPr="00E731A9">
        <w:rPr>
          <w:rFonts w:cs="Arial"/>
          <w:sz w:val="22"/>
        </w:rPr>
        <w:t xml:space="preserve">present our views </w:t>
      </w:r>
      <w:r w:rsidR="008D18A3">
        <w:rPr>
          <w:rFonts w:cs="Arial"/>
          <w:sz w:val="22"/>
        </w:rPr>
        <w:t>on</w:t>
      </w:r>
      <w:r w:rsidRPr="004524EC">
        <w:rPr>
          <w:rFonts w:cs="Arial"/>
          <w:sz w:val="22"/>
        </w:rPr>
        <w:t xml:space="preserve"> the benefits </w:t>
      </w:r>
      <w:r w:rsidR="003F6A99">
        <w:rPr>
          <w:rFonts w:cs="Arial"/>
          <w:sz w:val="22"/>
        </w:rPr>
        <w:t>of</w:t>
      </w:r>
      <w:r w:rsidRPr="004524EC">
        <w:rPr>
          <w:rFonts w:cs="Arial"/>
          <w:sz w:val="22"/>
        </w:rPr>
        <w:t xml:space="preserve"> </w:t>
      </w:r>
      <w:r w:rsidR="00BF0503" w:rsidRPr="004524EC">
        <w:rPr>
          <w:rFonts w:cs="Arial"/>
          <w:sz w:val="22"/>
        </w:rPr>
        <w:t>Rel 17</w:t>
      </w:r>
      <w:r w:rsidR="00BF0503">
        <w:rPr>
          <w:rFonts w:cs="Arial"/>
          <w:sz w:val="22"/>
        </w:rPr>
        <w:t xml:space="preserve"> </w:t>
      </w:r>
      <w:r w:rsidRPr="004524EC">
        <w:rPr>
          <w:rFonts w:cs="Arial"/>
          <w:sz w:val="22"/>
        </w:rPr>
        <w:t xml:space="preserve">eMTC-NTN </w:t>
      </w:r>
      <w:r w:rsidR="00F3456E">
        <w:rPr>
          <w:rFonts w:cs="Arial"/>
          <w:sz w:val="22"/>
        </w:rPr>
        <w:t>to</w:t>
      </w:r>
      <w:r w:rsidR="00BF0503">
        <w:rPr>
          <w:rFonts w:cs="Arial"/>
          <w:sz w:val="22"/>
        </w:rPr>
        <w:t xml:space="preserve"> </w:t>
      </w:r>
      <w:r w:rsidR="003F6A99">
        <w:rPr>
          <w:rFonts w:cs="Arial"/>
          <w:sz w:val="22"/>
        </w:rPr>
        <w:t>enabl</w:t>
      </w:r>
      <w:r w:rsidR="00F3456E">
        <w:rPr>
          <w:rFonts w:cs="Arial"/>
          <w:sz w:val="22"/>
        </w:rPr>
        <w:t>e</w:t>
      </w:r>
      <w:r w:rsidR="003F6A99">
        <w:rPr>
          <w:rFonts w:cs="Arial"/>
          <w:sz w:val="22"/>
        </w:rPr>
        <w:t xml:space="preserve"> </w:t>
      </w:r>
      <w:r w:rsidR="003F6A99" w:rsidRPr="004524EC">
        <w:rPr>
          <w:rFonts w:cs="Arial"/>
          <w:sz w:val="22"/>
        </w:rPr>
        <w:t>the high-value IoT opportunity</w:t>
      </w:r>
      <w:r w:rsidR="003F6A99">
        <w:rPr>
          <w:rFonts w:cs="Arial"/>
          <w:sz w:val="22"/>
        </w:rPr>
        <w:t xml:space="preserve"> </w:t>
      </w:r>
      <w:r w:rsidR="00D50C00">
        <w:rPr>
          <w:rFonts w:cs="Arial"/>
          <w:sz w:val="22"/>
        </w:rPr>
        <w:t>from an</w:t>
      </w:r>
      <w:r w:rsidR="003F6A99">
        <w:rPr>
          <w:rFonts w:cs="Arial"/>
          <w:sz w:val="22"/>
        </w:rPr>
        <w:t xml:space="preserve"> </w:t>
      </w:r>
      <w:r w:rsidRPr="004524EC">
        <w:rPr>
          <w:rFonts w:cs="Arial"/>
          <w:sz w:val="22"/>
        </w:rPr>
        <w:t>NGSO satellite operator</w:t>
      </w:r>
      <w:r w:rsidR="001C02A3">
        <w:rPr>
          <w:rFonts w:cs="Arial"/>
          <w:sz w:val="22"/>
        </w:rPr>
        <w:t>’</w:t>
      </w:r>
      <w:r w:rsidRPr="004524EC">
        <w:rPr>
          <w:rFonts w:cs="Arial"/>
          <w:sz w:val="22"/>
        </w:rPr>
        <w:t>s</w:t>
      </w:r>
      <w:r w:rsidR="001C02A3">
        <w:rPr>
          <w:rFonts w:cs="Arial"/>
          <w:sz w:val="22"/>
        </w:rPr>
        <w:t xml:space="preserve"> perspective</w:t>
      </w:r>
      <w:r w:rsidRPr="004524EC">
        <w:rPr>
          <w:rFonts w:cs="Arial"/>
          <w:sz w:val="22"/>
        </w:rPr>
        <w:t xml:space="preserve">. </w:t>
      </w:r>
    </w:p>
    <w:p w14:paraId="100933F2" w14:textId="2D20867D" w:rsidR="00D831D8" w:rsidRDefault="004524EC" w:rsidP="006E589C">
      <w:pPr>
        <w:pStyle w:val="BodyText"/>
        <w:rPr>
          <w:rFonts w:cs="Arial"/>
          <w:sz w:val="22"/>
        </w:rPr>
      </w:pPr>
      <w:r w:rsidRPr="004524EC">
        <w:rPr>
          <w:rFonts w:cs="Arial"/>
          <w:sz w:val="22"/>
        </w:rPr>
        <w:t>We show that the</w:t>
      </w:r>
      <w:r w:rsidR="003F6A99">
        <w:rPr>
          <w:rFonts w:cs="Arial"/>
          <w:sz w:val="22"/>
        </w:rPr>
        <w:t xml:space="preserve"> NGSO </w:t>
      </w:r>
      <w:r w:rsidRPr="004524EC">
        <w:rPr>
          <w:rFonts w:cs="Arial"/>
          <w:sz w:val="22"/>
        </w:rPr>
        <w:t xml:space="preserve">satellite parameters </w:t>
      </w:r>
      <w:r w:rsidR="00411CE0">
        <w:rPr>
          <w:rFonts w:cs="Arial"/>
          <w:sz w:val="22"/>
        </w:rPr>
        <w:t xml:space="preserve">in </w:t>
      </w:r>
      <w:r w:rsidRPr="004524EC">
        <w:rPr>
          <w:rFonts w:cs="Arial"/>
          <w:sz w:val="22"/>
        </w:rPr>
        <w:t xml:space="preserve">Set1 and Set2 will </w:t>
      </w:r>
      <w:r w:rsidR="00D50C00">
        <w:rPr>
          <w:rFonts w:cs="Arial"/>
          <w:sz w:val="22"/>
        </w:rPr>
        <w:t>provide the link-budget</w:t>
      </w:r>
      <w:r w:rsidR="00FB2A74">
        <w:rPr>
          <w:rFonts w:cs="Arial"/>
          <w:sz w:val="22"/>
        </w:rPr>
        <w:t xml:space="preserve"> needed to </w:t>
      </w:r>
      <w:r w:rsidRPr="004524EC">
        <w:rPr>
          <w:rFonts w:cs="Arial"/>
          <w:sz w:val="22"/>
        </w:rPr>
        <w:t>support eMTC CE</w:t>
      </w:r>
      <w:r w:rsidR="00F3456E">
        <w:rPr>
          <w:rFonts w:cs="Arial"/>
          <w:sz w:val="22"/>
        </w:rPr>
        <w:t xml:space="preserve"> </w:t>
      </w:r>
      <w:r w:rsidRPr="004524EC">
        <w:rPr>
          <w:rFonts w:cs="Arial"/>
          <w:sz w:val="22"/>
        </w:rPr>
        <w:t>Mode</w:t>
      </w:r>
      <w:r w:rsidR="00CD49E7">
        <w:rPr>
          <w:rFonts w:cs="Arial"/>
          <w:sz w:val="22"/>
        </w:rPr>
        <w:t xml:space="preserve"> </w:t>
      </w:r>
      <w:r w:rsidR="0029436B">
        <w:rPr>
          <w:rFonts w:cs="Arial"/>
          <w:sz w:val="22"/>
        </w:rPr>
        <w:t>A</w:t>
      </w:r>
      <w:r w:rsidR="00F3456E">
        <w:rPr>
          <w:rFonts w:cs="Arial"/>
          <w:sz w:val="22"/>
        </w:rPr>
        <w:t>,</w:t>
      </w:r>
      <w:r w:rsidR="0029436B">
        <w:rPr>
          <w:rFonts w:cs="Arial"/>
          <w:sz w:val="22"/>
        </w:rPr>
        <w:t xml:space="preserve"> </w:t>
      </w:r>
      <w:r w:rsidRPr="004524EC">
        <w:rPr>
          <w:rFonts w:cs="Arial"/>
          <w:sz w:val="22"/>
        </w:rPr>
        <w:t xml:space="preserve">which is </w:t>
      </w:r>
      <w:r w:rsidR="00F3456E">
        <w:rPr>
          <w:rFonts w:cs="Arial"/>
          <w:sz w:val="22"/>
        </w:rPr>
        <w:t>a</w:t>
      </w:r>
      <w:r w:rsidRPr="004524EC">
        <w:rPr>
          <w:rFonts w:cs="Arial"/>
          <w:sz w:val="22"/>
        </w:rPr>
        <w:t xml:space="preserve"> key enabler to unlock high-value IoT opportunit</w:t>
      </w:r>
      <w:r w:rsidR="00FB2A74">
        <w:rPr>
          <w:rFonts w:cs="Arial"/>
          <w:sz w:val="22"/>
        </w:rPr>
        <w:t>ies</w:t>
      </w:r>
      <w:r w:rsidRPr="004524EC">
        <w:rPr>
          <w:rFonts w:cs="Arial"/>
          <w:sz w:val="22"/>
        </w:rPr>
        <w:t>.</w:t>
      </w:r>
    </w:p>
    <w:p w14:paraId="3F52A510" w14:textId="12FDE0E4" w:rsidR="0035575B" w:rsidRPr="00E731A9" w:rsidRDefault="0035575B" w:rsidP="006E589C">
      <w:pPr>
        <w:pStyle w:val="BodyText"/>
        <w:rPr>
          <w:rFonts w:cs="Arial"/>
          <w:sz w:val="22"/>
        </w:rPr>
      </w:pPr>
      <w:r>
        <w:rPr>
          <w:rFonts w:cs="Arial"/>
          <w:sz w:val="22"/>
        </w:rPr>
        <w:t xml:space="preserve">Omnispace intends to launch </w:t>
      </w:r>
      <w:r w:rsidR="009D40D9">
        <w:rPr>
          <w:rFonts w:cs="Arial"/>
          <w:sz w:val="22"/>
        </w:rPr>
        <w:t>satellites support</w:t>
      </w:r>
      <w:r w:rsidR="003669F4">
        <w:rPr>
          <w:rFonts w:cs="Arial"/>
          <w:sz w:val="22"/>
        </w:rPr>
        <w:t>ing</w:t>
      </w:r>
      <w:r w:rsidR="009D40D9">
        <w:rPr>
          <w:rFonts w:cs="Arial"/>
          <w:sz w:val="22"/>
        </w:rPr>
        <w:t xml:space="preserve"> </w:t>
      </w:r>
      <w:r w:rsidR="00F3456E">
        <w:rPr>
          <w:rFonts w:cs="Arial"/>
          <w:sz w:val="22"/>
        </w:rPr>
        <w:t>h</w:t>
      </w:r>
      <w:r>
        <w:rPr>
          <w:rFonts w:cs="Arial"/>
          <w:sz w:val="22"/>
        </w:rPr>
        <w:t>igh</w:t>
      </w:r>
      <w:r w:rsidR="009D40D9">
        <w:rPr>
          <w:rFonts w:cs="Arial"/>
          <w:sz w:val="22"/>
        </w:rPr>
        <w:t>-</w:t>
      </w:r>
      <w:r w:rsidR="00F3456E">
        <w:rPr>
          <w:rFonts w:cs="Arial"/>
          <w:sz w:val="22"/>
        </w:rPr>
        <w:t>v</w:t>
      </w:r>
      <w:r>
        <w:rPr>
          <w:rFonts w:cs="Arial"/>
          <w:sz w:val="22"/>
        </w:rPr>
        <w:t xml:space="preserve">alue IoT services based on </w:t>
      </w:r>
      <w:r w:rsidR="004F473F">
        <w:rPr>
          <w:rFonts w:cs="Arial"/>
          <w:sz w:val="22"/>
        </w:rPr>
        <w:t xml:space="preserve">NTN </w:t>
      </w:r>
      <w:r w:rsidR="001E35B7">
        <w:rPr>
          <w:rFonts w:cs="Arial"/>
          <w:sz w:val="22"/>
        </w:rPr>
        <w:t>IoT</w:t>
      </w:r>
      <w:r w:rsidR="004F473F">
        <w:rPr>
          <w:rFonts w:cs="Arial"/>
          <w:sz w:val="22"/>
        </w:rPr>
        <w:t xml:space="preserve"> </w:t>
      </w:r>
      <w:r>
        <w:rPr>
          <w:rFonts w:cs="Arial"/>
          <w:sz w:val="22"/>
        </w:rPr>
        <w:t xml:space="preserve">Rel17 </w:t>
      </w:r>
      <w:r w:rsidR="003669F4">
        <w:rPr>
          <w:rFonts w:cs="Arial"/>
          <w:sz w:val="22"/>
        </w:rPr>
        <w:t xml:space="preserve">eMTC </w:t>
      </w:r>
      <w:r w:rsidR="004F473F">
        <w:rPr>
          <w:rFonts w:cs="Arial"/>
          <w:sz w:val="22"/>
        </w:rPr>
        <w:t>using an</w:t>
      </w:r>
      <w:r>
        <w:rPr>
          <w:rFonts w:cs="Arial"/>
          <w:sz w:val="22"/>
        </w:rPr>
        <w:t xml:space="preserve"> </w:t>
      </w:r>
      <w:r w:rsidR="001E35B7">
        <w:rPr>
          <w:rFonts w:cs="Arial"/>
          <w:sz w:val="22"/>
        </w:rPr>
        <w:t xml:space="preserve">NGSO constellation </w:t>
      </w:r>
      <w:r w:rsidR="003669F4">
        <w:rPr>
          <w:rFonts w:cs="Arial"/>
          <w:sz w:val="22"/>
        </w:rPr>
        <w:t>with</w:t>
      </w:r>
      <w:r w:rsidR="001E35B7">
        <w:rPr>
          <w:rFonts w:cs="Arial"/>
          <w:sz w:val="22"/>
        </w:rPr>
        <w:t xml:space="preserve"> </w:t>
      </w:r>
      <w:r w:rsidR="002A3F1D">
        <w:rPr>
          <w:rFonts w:cs="Arial"/>
          <w:sz w:val="22"/>
        </w:rPr>
        <w:t xml:space="preserve">characteristics </w:t>
      </w:r>
      <w:r w:rsidR="001C02A3">
        <w:rPr>
          <w:rFonts w:cs="Arial"/>
          <w:sz w:val="22"/>
        </w:rPr>
        <w:t xml:space="preserve">between </w:t>
      </w:r>
      <w:r w:rsidR="002A3F1D">
        <w:rPr>
          <w:rFonts w:cs="Arial"/>
          <w:sz w:val="22"/>
        </w:rPr>
        <w:t>S</w:t>
      </w:r>
      <w:r w:rsidR="001E35B7">
        <w:rPr>
          <w:rFonts w:cs="Arial"/>
          <w:sz w:val="22"/>
        </w:rPr>
        <w:t xml:space="preserve">et1 and </w:t>
      </w:r>
      <w:r w:rsidR="002A3F1D">
        <w:rPr>
          <w:rFonts w:cs="Arial"/>
          <w:sz w:val="22"/>
        </w:rPr>
        <w:t>S</w:t>
      </w:r>
      <w:r w:rsidR="001E35B7">
        <w:rPr>
          <w:rFonts w:cs="Arial"/>
          <w:sz w:val="22"/>
        </w:rPr>
        <w:t>et2 parameter</w:t>
      </w:r>
      <w:r w:rsidR="001C02A3">
        <w:rPr>
          <w:rFonts w:cs="Arial"/>
          <w:sz w:val="22"/>
        </w:rPr>
        <w:t>s</w:t>
      </w:r>
      <w:r w:rsidR="001E35B7">
        <w:rPr>
          <w:rFonts w:cs="Arial"/>
          <w:sz w:val="22"/>
        </w:rPr>
        <w:t>.</w:t>
      </w:r>
    </w:p>
    <w:p w14:paraId="3ECC9163" w14:textId="2F443D7E" w:rsidR="006E589C" w:rsidRDefault="006E589C" w:rsidP="00024A54">
      <w:pPr>
        <w:pStyle w:val="Heading1"/>
      </w:pPr>
      <w:bookmarkStart w:id="0" w:name="_Ref178064866"/>
      <w:r>
        <w:t>2</w:t>
      </w:r>
      <w:r>
        <w:tab/>
      </w:r>
      <w:bookmarkEnd w:id="0"/>
      <w:r w:rsidR="00024A54">
        <w:t>Background and Opportunities for NTN IoT in Rel 17</w:t>
      </w:r>
    </w:p>
    <w:p w14:paraId="58E18A71" w14:textId="758773F6" w:rsidR="00FB4953" w:rsidRDefault="00FB4953" w:rsidP="00FB4953">
      <w:pPr>
        <w:jc w:val="both"/>
        <w:rPr>
          <w:rFonts w:cs="Arial"/>
          <w:sz w:val="22"/>
          <w:lang w:eastAsia="zh-CN"/>
        </w:rPr>
      </w:pPr>
      <w:r w:rsidRPr="00FB4953">
        <w:rPr>
          <w:rFonts w:cs="Arial"/>
          <w:sz w:val="22"/>
          <w:lang w:eastAsia="zh-CN"/>
        </w:rPr>
        <w:t xml:space="preserve">As in the terrestrial world, IoT in a non-terrestrial setting comprises a distinct set of opportunities across many market segments.  </w:t>
      </w:r>
    </w:p>
    <w:p w14:paraId="6C8C80A6" w14:textId="450887D3" w:rsidR="009D64A5" w:rsidRDefault="009D64A5" w:rsidP="009D64A5">
      <w:pPr>
        <w:pStyle w:val="BodyText"/>
        <w:rPr>
          <w:rFonts w:cs="Arial"/>
          <w:sz w:val="22"/>
        </w:rPr>
      </w:pPr>
      <w:r>
        <w:rPr>
          <w:rFonts w:cs="Arial"/>
          <w:sz w:val="22"/>
        </w:rPr>
        <w:t>While a</w:t>
      </w:r>
      <w:r w:rsidRPr="00872D88">
        <w:rPr>
          <w:rFonts w:cs="Arial"/>
          <w:sz w:val="22"/>
        </w:rPr>
        <w:t xml:space="preserve"> market opportunit</w:t>
      </w:r>
      <w:r>
        <w:rPr>
          <w:rFonts w:cs="Arial"/>
          <w:sz w:val="22"/>
        </w:rPr>
        <w:t>y</w:t>
      </w:r>
      <w:r w:rsidRPr="00872D88">
        <w:rPr>
          <w:rFonts w:cs="Arial"/>
          <w:sz w:val="22"/>
        </w:rPr>
        <w:t xml:space="preserve"> </w:t>
      </w:r>
      <w:r>
        <w:rPr>
          <w:rFonts w:cs="Arial"/>
          <w:sz w:val="22"/>
        </w:rPr>
        <w:t>for</w:t>
      </w:r>
      <w:r w:rsidRPr="00872D88">
        <w:rPr>
          <w:rFonts w:cs="Arial"/>
          <w:sz w:val="22"/>
        </w:rPr>
        <w:t xml:space="preserve"> fixed, low data rate applications</w:t>
      </w:r>
      <w:r>
        <w:rPr>
          <w:rFonts w:cs="Arial"/>
          <w:sz w:val="22"/>
        </w:rPr>
        <w:t xml:space="preserve"> exists</w:t>
      </w:r>
      <w:r w:rsidR="00C73029">
        <w:rPr>
          <w:rFonts w:cs="Arial"/>
          <w:sz w:val="22"/>
        </w:rPr>
        <w:t>,</w:t>
      </w:r>
      <w:r w:rsidRPr="00872D88">
        <w:rPr>
          <w:rFonts w:cs="Arial"/>
          <w:sz w:val="22"/>
        </w:rPr>
        <w:t xml:space="preserve"> </w:t>
      </w:r>
      <w:r w:rsidR="00C73029">
        <w:rPr>
          <w:rFonts w:cs="Arial"/>
          <w:sz w:val="22"/>
        </w:rPr>
        <w:t>t</w:t>
      </w:r>
      <w:r w:rsidR="00C73029" w:rsidRPr="00872D88">
        <w:rPr>
          <w:rFonts w:cs="Arial"/>
          <w:sz w:val="22"/>
        </w:rPr>
        <w:t xml:space="preserve">hese </w:t>
      </w:r>
      <w:r w:rsidRPr="00872D88">
        <w:rPr>
          <w:rFonts w:cs="Arial"/>
          <w:sz w:val="22"/>
        </w:rPr>
        <w:t>can frequently be supported with intermittent connectivity and are expected to only send a few Bytes of data on a daily or less frequent basis.  To compete against the emerging private network solutions like SigFox and LoRaWAN, 3GPP developed NB-IoT</w:t>
      </w:r>
      <w:r w:rsidR="00AD4687">
        <w:rPr>
          <w:rFonts w:cs="Arial"/>
          <w:sz w:val="22"/>
        </w:rPr>
        <w:t>.</w:t>
      </w:r>
    </w:p>
    <w:p w14:paraId="792D7B17" w14:textId="734F8DFB" w:rsidR="009D64A5" w:rsidRPr="00872D88" w:rsidRDefault="009D64A5" w:rsidP="009D64A5">
      <w:pPr>
        <w:pStyle w:val="BodyText"/>
        <w:rPr>
          <w:rFonts w:cs="Arial"/>
          <w:sz w:val="22"/>
        </w:rPr>
      </w:pPr>
      <w:r w:rsidRPr="00872D88">
        <w:rPr>
          <w:rFonts w:cs="Arial"/>
          <w:sz w:val="22"/>
        </w:rPr>
        <w:t xml:space="preserve"> Example use cases include:</w:t>
      </w:r>
    </w:p>
    <w:p w14:paraId="60D80A67" w14:textId="77777777" w:rsidR="009D64A5" w:rsidRPr="00872D88" w:rsidRDefault="009D64A5" w:rsidP="009D64A5">
      <w:pPr>
        <w:pStyle w:val="BodyText"/>
        <w:numPr>
          <w:ilvl w:val="0"/>
          <w:numId w:val="30"/>
        </w:numPr>
        <w:rPr>
          <w:rFonts w:cs="Arial"/>
          <w:sz w:val="22"/>
        </w:rPr>
      </w:pPr>
      <w:r w:rsidRPr="00872D88">
        <w:rPr>
          <w:rFonts w:cs="Arial"/>
          <w:sz w:val="22"/>
        </w:rPr>
        <w:t>Meter reading</w:t>
      </w:r>
    </w:p>
    <w:p w14:paraId="5B1404BB" w14:textId="77777777" w:rsidR="009D64A5" w:rsidRPr="00872D88" w:rsidRDefault="009D64A5" w:rsidP="009D64A5">
      <w:pPr>
        <w:pStyle w:val="BodyText"/>
        <w:numPr>
          <w:ilvl w:val="0"/>
          <w:numId w:val="30"/>
        </w:numPr>
        <w:rPr>
          <w:rFonts w:cs="Arial"/>
          <w:sz w:val="22"/>
        </w:rPr>
      </w:pPr>
      <w:r w:rsidRPr="00872D88">
        <w:rPr>
          <w:rFonts w:cs="Arial"/>
          <w:sz w:val="22"/>
        </w:rPr>
        <w:t xml:space="preserve">Smart agriculture </w:t>
      </w:r>
    </w:p>
    <w:p w14:paraId="2A0668AE" w14:textId="77777777" w:rsidR="009D64A5" w:rsidRPr="00872D88" w:rsidRDefault="009D64A5" w:rsidP="009D64A5">
      <w:pPr>
        <w:pStyle w:val="BodyText"/>
        <w:numPr>
          <w:ilvl w:val="0"/>
          <w:numId w:val="30"/>
        </w:numPr>
        <w:rPr>
          <w:rFonts w:cs="Arial"/>
          <w:sz w:val="22"/>
        </w:rPr>
      </w:pPr>
      <w:r w:rsidRPr="00872D88">
        <w:rPr>
          <w:rFonts w:cs="Arial"/>
          <w:sz w:val="22"/>
        </w:rPr>
        <w:t>Non-realtime infrastructure monitoring and control</w:t>
      </w:r>
    </w:p>
    <w:p w14:paraId="6878A9F6" w14:textId="77777777" w:rsidR="009D64A5" w:rsidRPr="00FB4953" w:rsidRDefault="009D64A5" w:rsidP="00FB4953">
      <w:pPr>
        <w:jc w:val="both"/>
        <w:rPr>
          <w:rFonts w:cs="Arial"/>
          <w:sz w:val="22"/>
          <w:lang w:eastAsia="zh-CN"/>
        </w:rPr>
      </w:pPr>
    </w:p>
    <w:p w14:paraId="2ECA2AF6" w14:textId="66F96170" w:rsidR="00872D88" w:rsidRPr="00872D88" w:rsidRDefault="009D64A5" w:rsidP="00872D88">
      <w:pPr>
        <w:pStyle w:val="BodyText"/>
        <w:rPr>
          <w:rFonts w:cs="Arial"/>
          <w:sz w:val="22"/>
        </w:rPr>
      </w:pPr>
      <w:r>
        <w:rPr>
          <w:rFonts w:cs="Arial"/>
          <w:sz w:val="22"/>
        </w:rPr>
        <w:t>In addition to NB-IoT, LTE CAT-M was developed to support</w:t>
      </w:r>
      <w:r w:rsidR="00872D88" w:rsidRPr="006D5A7B">
        <w:rPr>
          <w:rFonts w:cs="Arial"/>
          <w:sz w:val="22"/>
        </w:rPr>
        <w:t xml:space="preserve"> the most valuable market opportunities </w:t>
      </w:r>
      <w:r>
        <w:rPr>
          <w:rFonts w:cs="Arial"/>
          <w:sz w:val="22"/>
        </w:rPr>
        <w:t>consisting of</w:t>
      </w:r>
      <w:r w:rsidR="00872D88" w:rsidRPr="006D5A7B">
        <w:rPr>
          <w:rFonts w:cs="Arial"/>
          <w:sz w:val="22"/>
        </w:rPr>
        <w:t xml:space="preserve"> assets that are being monitored </w:t>
      </w:r>
      <w:r w:rsidR="006D5A7B" w:rsidRPr="006D5A7B">
        <w:rPr>
          <w:rFonts w:cs="Arial"/>
          <w:sz w:val="22"/>
        </w:rPr>
        <w:t xml:space="preserve">continuously </w:t>
      </w:r>
      <w:r>
        <w:rPr>
          <w:rFonts w:cs="Arial"/>
          <w:sz w:val="22"/>
        </w:rPr>
        <w:t xml:space="preserve">and </w:t>
      </w:r>
      <w:r w:rsidR="006D5A7B" w:rsidRPr="006D5A7B">
        <w:rPr>
          <w:rFonts w:cs="Arial"/>
          <w:sz w:val="22"/>
        </w:rPr>
        <w:t>connected</w:t>
      </w:r>
      <w:r>
        <w:rPr>
          <w:rFonts w:cs="Arial"/>
          <w:sz w:val="22"/>
        </w:rPr>
        <w:t xml:space="preserve"> continuously</w:t>
      </w:r>
      <w:r w:rsidR="00872D88" w:rsidRPr="006D5A7B">
        <w:rPr>
          <w:rFonts w:cs="Arial"/>
          <w:sz w:val="22"/>
        </w:rPr>
        <w:t>.</w:t>
      </w:r>
      <w:r w:rsidR="00872D88" w:rsidRPr="00872D88">
        <w:rPr>
          <w:rFonts w:cs="Arial"/>
          <w:sz w:val="22"/>
        </w:rPr>
        <w:t xml:space="preserve">  These use cases rely on full time connectivity capable of delivering a few </w:t>
      </w:r>
      <w:r w:rsidR="006D5A7B">
        <w:rPr>
          <w:rFonts w:cs="Arial"/>
          <w:sz w:val="22"/>
        </w:rPr>
        <w:t>k</w:t>
      </w:r>
      <w:r w:rsidR="00872D88" w:rsidRPr="00872D88">
        <w:rPr>
          <w:rFonts w:cs="Arial"/>
          <w:sz w:val="22"/>
        </w:rPr>
        <w:t>bps to hundreds of kbps of data on a full-time basis. Currently 3GPP has sought to address these markets through the development of eMTC</w:t>
      </w:r>
      <w:r>
        <w:rPr>
          <w:rFonts w:cs="Arial"/>
          <w:sz w:val="22"/>
        </w:rPr>
        <w:t>.</w:t>
      </w:r>
      <w:r w:rsidR="00872D88" w:rsidRPr="00872D88">
        <w:rPr>
          <w:rFonts w:cs="Arial"/>
          <w:sz w:val="22"/>
        </w:rPr>
        <w:t xml:space="preserve"> </w:t>
      </w:r>
      <w:r>
        <w:rPr>
          <w:rFonts w:cs="Arial"/>
          <w:sz w:val="22"/>
        </w:rPr>
        <w:t>By utilizing the existing</w:t>
      </w:r>
      <w:r w:rsidR="003351C0">
        <w:rPr>
          <w:rFonts w:cs="Arial"/>
          <w:sz w:val="22"/>
        </w:rPr>
        <w:t xml:space="preserve"> link-budget for</w:t>
      </w:r>
      <w:r w:rsidR="009F0718">
        <w:rPr>
          <w:rFonts w:cs="Arial"/>
          <w:sz w:val="22"/>
        </w:rPr>
        <w:t xml:space="preserve"> </w:t>
      </w:r>
      <w:r w:rsidR="00872D88" w:rsidRPr="00872D88">
        <w:rPr>
          <w:rFonts w:cs="Arial"/>
          <w:sz w:val="22"/>
        </w:rPr>
        <w:t>CE</w:t>
      </w:r>
      <w:r w:rsidR="006D5A7B">
        <w:rPr>
          <w:rFonts w:cs="Arial"/>
          <w:sz w:val="22"/>
        </w:rPr>
        <w:t xml:space="preserve"> </w:t>
      </w:r>
      <w:r w:rsidR="00872D88" w:rsidRPr="00872D88">
        <w:rPr>
          <w:rFonts w:cs="Arial"/>
          <w:sz w:val="22"/>
        </w:rPr>
        <w:t>Mode A</w:t>
      </w:r>
      <w:r>
        <w:rPr>
          <w:rFonts w:cs="Arial"/>
          <w:sz w:val="22"/>
        </w:rPr>
        <w:t xml:space="preserve">, these high value services could be delivered over an NTN solution, as </w:t>
      </w:r>
      <w:r w:rsidR="00872D88" w:rsidRPr="00872D88">
        <w:rPr>
          <w:rFonts w:cs="Arial"/>
          <w:sz w:val="22"/>
        </w:rPr>
        <w:t>CE</w:t>
      </w:r>
      <w:r w:rsidR="006D5A7B">
        <w:rPr>
          <w:rFonts w:cs="Arial"/>
          <w:sz w:val="22"/>
        </w:rPr>
        <w:t xml:space="preserve"> </w:t>
      </w:r>
      <w:r w:rsidR="00872D88" w:rsidRPr="00872D88">
        <w:rPr>
          <w:rFonts w:cs="Arial"/>
          <w:sz w:val="22"/>
        </w:rPr>
        <w:t xml:space="preserve">Mode A provides 10dB better coverage than LTE whilst maintaining sustained data-rates that are critical for these </w:t>
      </w:r>
      <w:r w:rsidR="006D5A7B">
        <w:rPr>
          <w:rFonts w:cs="Arial"/>
          <w:sz w:val="22"/>
        </w:rPr>
        <w:t xml:space="preserve">high-value </w:t>
      </w:r>
      <w:r w:rsidR="00872D88" w:rsidRPr="00872D88">
        <w:rPr>
          <w:rFonts w:cs="Arial"/>
          <w:sz w:val="22"/>
        </w:rPr>
        <w:t>applications.  Example use cases include:</w:t>
      </w:r>
    </w:p>
    <w:p w14:paraId="1CDEE8A6" w14:textId="1B41975F" w:rsidR="00872D88" w:rsidRPr="00872D88" w:rsidRDefault="00872D88" w:rsidP="00872D88">
      <w:pPr>
        <w:pStyle w:val="BodyText"/>
        <w:numPr>
          <w:ilvl w:val="0"/>
          <w:numId w:val="29"/>
        </w:numPr>
        <w:rPr>
          <w:rFonts w:cs="Arial"/>
          <w:sz w:val="22"/>
        </w:rPr>
      </w:pPr>
      <w:r w:rsidRPr="00872D88">
        <w:rPr>
          <w:rFonts w:cs="Arial"/>
          <w:sz w:val="22"/>
        </w:rPr>
        <w:t xml:space="preserve">Connected vehicle </w:t>
      </w:r>
    </w:p>
    <w:p w14:paraId="2E8FF482" w14:textId="77777777" w:rsidR="00872D88" w:rsidRPr="00872D88" w:rsidRDefault="00872D88" w:rsidP="00872D88">
      <w:pPr>
        <w:pStyle w:val="BodyText"/>
        <w:numPr>
          <w:ilvl w:val="0"/>
          <w:numId w:val="29"/>
        </w:numPr>
        <w:rPr>
          <w:rFonts w:cs="Arial"/>
          <w:sz w:val="22"/>
        </w:rPr>
      </w:pPr>
      <w:r w:rsidRPr="00872D88">
        <w:rPr>
          <w:rFonts w:cs="Arial"/>
          <w:sz w:val="22"/>
        </w:rPr>
        <w:t>BVLoS for drone telemetry</w:t>
      </w:r>
    </w:p>
    <w:p w14:paraId="63A3EEA6" w14:textId="77777777" w:rsidR="00872D88" w:rsidRPr="00872D88" w:rsidRDefault="00872D88" w:rsidP="00872D88">
      <w:pPr>
        <w:pStyle w:val="BodyText"/>
        <w:numPr>
          <w:ilvl w:val="0"/>
          <w:numId w:val="29"/>
        </w:numPr>
        <w:rPr>
          <w:rFonts w:cs="Arial"/>
          <w:sz w:val="22"/>
        </w:rPr>
      </w:pPr>
      <w:r w:rsidRPr="00872D88">
        <w:rPr>
          <w:rFonts w:cs="Arial"/>
          <w:sz w:val="22"/>
        </w:rPr>
        <w:lastRenderedPageBreak/>
        <w:t>High-value, real-time mobile asset tracking</w:t>
      </w:r>
    </w:p>
    <w:p w14:paraId="68E8296B" w14:textId="03F94514" w:rsidR="00872D88" w:rsidRDefault="00872D88" w:rsidP="00872D88">
      <w:pPr>
        <w:pStyle w:val="BodyText"/>
        <w:numPr>
          <w:ilvl w:val="0"/>
          <w:numId w:val="29"/>
        </w:numPr>
        <w:rPr>
          <w:rFonts w:cs="Arial"/>
          <w:sz w:val="22"/>
        </w:rPr>
      </w:pPr>
      <w:r w:rsidRPr="00872D88">
        <w:rPr>
          <w:rFonts w:cs="Arial"/>
          <w:sz w:val="22"/>
        </w:rPr>
        <w:t>Remote healthcare and first responder</w:t>
      </w:r>
    </w:p>
    <w:p w14:paraId="54EE56E2" w14:textId="77777777" w:rsidR="00623E80" w:rsidRPr="00E731A9" w:rsidRDefault="00623E80" w:rsidP="006E589C">
      <w:pPr>
        <w:pStyle w:val="BodyText"/>
        <w:rPr>
          <w:rFonts w:cs="Arial"/>
          <w:sz w:val="22"/>
        </w:rPr>
      </w:pPr>
    </w:p>
    <w:p w14:paraId="65E2E006" w14:textId="2A716A0A" w:rsidR="006E589C" w:rsidRDefault="006E589C" w:rsidP="00AF6B0F">
      <w:pPr>
        <w:pStyle w:val="Heading2"/>
      </w:pPr>
      <w:r>
        <w:t>2.1</w:t>
      </w:r>
      <w:r>
        <w:tab/>
      </w:r>
      <w:r w:rsidR="0082639F" w:rsidRPr="009802B8">
        <w:t xml:space="preserve">Market </w:t>
      </w:r>
      <w:r w:rsidR="0082639F">
        <w:t>S</w:t>
      </w:r>
      <w:r w:rsidR="0082639F" w:rsidRPr="009802B8">
        <w:t xml:space="preserve">ize and </w:t>
      </w:r>
      <w:r w:rsidR="0082639F">
        <w:t>V</w:t>
      </w:r>
      <w:r w:rsidR="0082639F" w:rsidRPr="009802B8">
        <w:t>alue</w:t>
      </w:r>
    </w:p>
    <w:p w14:paraId="6A632DEB" w14:textId="1D83A9AA" w:rsidR="00BE4A7C" w:rsidRDefault="00BE4A7C" w:rsidP="00BE4A7C">
      <w:pPr>
        <w:pStyle w:val="BodyText"/>
        <w:rPr>
          <w:rFonts w:cs="Arial"/>
          <w:sz w:val="22"/>
        </w:rPr>
      </w:pPr>
      <w:r w:rsidRPr="00BE4A7C">
        <w:rPr>
          <w:rFonts w:cs="Arial"/>
          <w:sz w:val="22"/>
        </w:rPr>
        <w:t xml:space="preserve">IoT is a key component of the digital transformation and will create value across a very diverse set of markets in the coming decades.  Enterprises are expected to represent the largest IoT market opportunity as they seek new forms </w:t>
      </w:r>
      <w:r w:rsidR="00FC50D8">
        <w:rPr>
          <w:rFonts w:cs="Arial"/>
          <w:sz w:val="22"/>
        </w:rPr>
        <w:t>of</w:t>
      </w:r>
      <w:r w:rsidRPr="00BE4A7C">
        <w:rPr>
          <w:rFonts w:cs="Arial"/>
          <w:sz w:val="22"/>
        </w:rPr>
        <w:t xml:space="preserve"> revenue, while automating operations to reduce costs, representing more than half of IoT connections by 2025</w:t>
      </w:r>
      <w:r w:rsidR="00E03D8D">
        <w:rPr>
          <w:rFonts w:cs="Arial"/>
          <w:sz w:val="22"/>
        </w:rPr>
        <w:t xml:space="preserve"> </w:t>
      </w:r>
      <w:r w:rsidR="00E03D8D">
        <w:rPr>
          <w:rFonts w:cs="Arial"/>
          <w:sz w:val="22"/>
        </w:rPr>
        <w:fldChar w:fldCharType="begin"/>
      </w:r>
      <w:r w:rsidR="00E03D8D">
        <w:rPr>
          <w:rFonts w:cs="Arial"/>
          <w:sz w:val="22"/>
        </w:rPr>
        <w:instrText xml:space="preserve"> REF _Ref71204014 \r \h </w:instrText>
      </w:r>
      <w:r w:rsidR="00E03D8D">
        <w:rPr>
          <w:rFonts w:cs="Arial"/>
          <w:sz w:val="22"/>
        </w:rPr>
      </w:r>
      <w:r w:rsidR="00E03D8D">
        <w:rPr>
          <w:rFonts w:cs="Arial"/>
          <w:sz w:val="22"/>
        </w:rPr>
        <w:fldChar w:fldCharType="separate"/>
      </w:r>
      <w:r w:rsidR="00BA71E2">
        <w:rPr>
          <w:rFonts w:cs="Arial"/>
          <w:sz w:val="22"/>
        </w:rPr>
        <w:t>[1]</w:t>
      </w:r>
      <w:r w:rsidR="00E03D8D">
        <w:rPr>
          <w:rFonts w:cs="Arial"/>
          <w:sz w:val="22"/>
        </w:rPr>
        <w:fldChar w:fldCharType="end"/>
      </w:r>
      <w:r w:rsidRPr="00BE4A7C">
        <w:rPr>
          <w:rFonts w:cs="Arial"/>
          <w:sz w:val="22"/>
        </w:rPr>
        <w:t>.  Many enterprises foresee IoT as transformational to their company and their industry</w:t>
      </w:r>
      <w:r w:rsidR="00CD703A">
        <w:rPr>
          <w:rFonts w:cs="Arial"/>
          <w:sz w:val="22"/>
        </w:rPr>
        <w:t xml:space="preserve"> </w:t>
      </w:r>
      <w:r w:rsidR="008B3A0C">
        <w:rPr>
          <w:rFonts w:cs="Arial"/>
          <w:sz w:val="22"/>
        </w:rPr>
        <w:fldChar w:fldCharType="begin"/>
      </w:r>
      <w:r w:rsidR="008B3A0C">
        <w:rPr>
          <w:rFonts w:cs="Arial"/>
          <w:sz w:val="22"/>
        </w:rPr>
        <w:instrText xml:space="preserve"> REF _Ref71204090 \r \h </w:instrText>
      </w:r>
      <w:r w:rsidR="008B3A0C">
        <w:rPr>
          <w:rFonts w:cs="Arial"/>
          <w:sz w:val="22"/>
        </w:rPr>
      </w:r>
      <w:r w:rsidR="008B3A0C">
        <w:rPr>
          <w:rFonts w:cs="Arial"/>
          <w:sz w:val="22"/>
        </w:rPr>
        <w:fldChar w:fldCharType="separate"/>
      </w:r>
      <w:r w:rsidR="00BA71E2">
        <w:rPr>
          <w:rFonts w:cs="Arial"/>
          <w:sz w:val="22"/>
        </w:rPr>
        <w:t>[2]</w:t>
      </w:r>
      <w:r w:rsidR="008B3A0C">
        <w:rPr>
          <w:rFonts w:cs="Arial"/>
          <w:sz w:val="22"/>
        </w:rPr>
        <w:fldChar w:fldCharType="end"/>
      </w:r>
      <w:r w:rsidR="008B3A0C">
        <w:rPr>
          <w:rFonts w:cs="Arial"/>
          <w:b/>
          <w:sz w:val="22"/>
        </w:rPr>
        <w:t>.</w:t>
      </w:r>
      <w:r w:rsidRPr="00BE4A7C">
        <w:rPr>
          <w:rFonts w:cs="Arial"/>
          <w:sz w:val="22"/>
        </w:rPr>
        <w:t xml:space="preserve">  This highlights the high expectations for the scale and robustness required of IoT solutions in support of the Enterprise community.  Cellular M2M currently represents the majority of IoT connectivity revenues and is forecast to continue to do so in the years ahead</w:t>
      </w:r>
      <w:r w:rsidR="00A1272D">
        <w:rPr>
          <w:rFonts w:cs="Arial"/>
          <w:sz w:val="22"/>
        </w:rPr>
        <w:t xml:space="preserve"> </w:t>
      </w:r>
      <w:r w:rsidR="00A1272D">
        <w:rPr>
          <w:rFonts w:cs="Arial"/>
          <w:sz w:val="22"/>
        </w:rPr>
        <w:fldChar w:fldCharType="begin"/>
      </w:r>
      <w:r w:rsidR="00A1272D">
        <w:rPr>
          <w:rFonts w:cs="Arial"/>
          <w:sz w:val="22"/>
        </w:rPr>
        <w:instrText xml:space="preserve"> REF _Ref71204134 \r \h </w:instrText>
      </w:r>
      <w:r w:rsidR="00A1272D">
        <w:rPr>
          <w:rFonts w:cs="Arial"/>
          <w:sz w:val="22"/>
        </w:rPr>
      </w:r>
      <w:r w:rsidR="00A1272D">
        <w:rPr>
          <w:rFonts w:cs="Arial"/>
          <w:sz w:val="22"/>
        </w:rPr>
        <w:fldChar w:fldCharType="separate"/>
      </w:r>
      <w:r w:rsidR="00BA71E2">
        <w:rPr>
          <w:rFonts w:cs="Arial"/>
          <w:sz w:val="22"/>
        </w:rPr>
        <w:t>[3]</w:t>
      </w:r>
      <w:r w:rsidR="00A1272D">
        <w:rPr>
          <w:rFonts w:cs="Arial"/>
          <w:sz w:val="22"/>
        </w:rPr>
        <w:fldChar w:fldCharType="end"/>
      </w:r>
      <w:r w:rsidRPr="00BE4A7C">
        <w:rPr>
          <w:rFonts w:cs="Arial"/>
          <w:sz w:val="22"/>
        </w:rPr>
        <w:t>.  Many applications require higher bandwidth and mobility which are features enabled by eMTC.  Projections are that licensed cellular networks (NB-IoT and LTE-M) will serve 3.5 billion connections by 2025, with mobile IoT representing 2 billion connections</w:t>
      </w:r>
      <w:r w:rsidR="00A1272D">
        <w:rPr>
          <w:rFonts w:cs="Arial"/>
          <w:sz w:val="22"/>
        </w:rPr>
        <w:t xml:space="preserve"> </w:t>
      </w:r>
      <w:r w:rsidR="000608B1">
        <w:rPr>
          <w:rFonts w:cs="Arial"/>
          <w:sz w:val="22"/>
        </w:rPr>
        <w:fldChar w:fldCharType="begin"/>
      </w:r>
      <w:r w:rsidR="000608B1">
        <w:rPr>
          <w:rFonts w:cs="Arial"/>
          <w:sz w:val="22"/>
        </w:rPr>
        <w:instrText xml:space="preserve"> REF _Ref71204014 \r \h </w:instrText>
      </w:r>
      <w:r w:rsidR="000608B1">
        <w:rPr>
          <w:rFonts w:cs="Arial"/>
          <w:sz w:val="22"/>
        </w:rPr>
      </w:r>
      <w:r w:rsidR="000608B1">
        <w:rPr>
          <w:rFonts w:cs="Arial"/>
          <w:sz w:val="22"/>
        </w:rPr>
        <w:fldChar w:fldCharType="separate"/>
      </w:r>
      <w:r w:rsidR="00BA71E2">
        <w:rPr>
          <w:rFonts w:cs="Arial"/>
          <w:sz w:val="22"/>
        </w:rPr>
        <w:t>[1]</w:t>
      </w:r>
      <w:r w:rsidR="000608B1">
        <w:rPr>
          <w:rFonts w:cs="Arial"/>
          <w:sz w:val="22"/>
        </w:rPr>
        <w:fldChar w:fldCharType="end"/>
      </w:r>
      <w:r w:rsidRPr="00BE4A7C">
        <w:rPr>
          <w:rFonts w:cs="Arial"/>
          <w:sz w:val="22"/>
        </w:rPr>
        <w:t xml:space="preserve">, and still early in the adoption cycle. </w:t>
      </w:r>
    </w:p>
    <w:p w14:paraId="713C558B" w14:textId="522D1C8B" w:rsidR="00FB1C73" w:rsidRPr="006C3CEE" w:rsidRDefault="00FB1C73" w:rsidP="006C3CEE">
      <w:pPr>
        <w:pStyle w:val="Observation"/>
        <w:ind w:left="1701" w:hanging="1701"/>
        <w:rPr>
          <w:sz w:val="22"/>
        </w:rPr>
      </w:pPr>
      <w:r w:rsidRPr="006C3CEE">
        <w:rPr>
          <w:sz w:val="22"/>
        </w:rPr>
        <w:t xml:space="preserve">There is a significant market opportunity for the broad range of IoT opportunities to be supported by satellite operations that cover areas devoid of communication opportunities. It is important to the satellite industry that the first NTN Rel17 provides a solid foothold to assist the development of both high value IoT market segments in addition </w:t>
      </w:r>
      <w:r w:rsidR="00E23685">
        <w:rPr>
          <w:sz w:val="22"/>
        </w:rPr>
        <w:t xml:space="preserve">to the </w:t>
      </w:r>
      <w:r w:rsidRPr="006C3CEE">
        <w:rPr>
          <w:sz w:val="22"/>
        </w:rPr>
        <w:t>low data rate infrequent packet data applications.</w:t>
      </w:r>
    </w:p>
    <w:p w14:paraId="3625DAA3" w14:textId="1B628AE3" w:rsidR="00BE4A7C" w:rsidRPr="00BE4A7C" w:rsidRDefault="00B71B14" w:rsidP="00B71B14">
      <w:pPr>
        <w:rPr>
          <w:rFonts w:cs="Arial"/>
          <w:sz w:val="22"/>
          <w:lang w:eastAsia="zh-CN"/>
        </w:rPr>
      </w:pPr>
      <w:r>
        <w:rPr>
          <w:rFonts w:cs="Arial"/>
          <w:sz w:val="22"/>
        </w:rPr>
        <w:br w:type="page"/>
      </w:r>
    </w:p>
    <w:p w14:paraId="3A6FB19D" w14:textId="72A4E090" w:rsidR="006E589C" w:rsidRPr="00F302CB" w:rsidRDefault="006E589C" w:rsidP="00C12E3C">
      <w:pPr>
        <w:pStyle w:val="Heading1"/>
      </w:pPr>
      <w:r>
        <w:lastRenderedPageBreak/>
        <w:t>3</w:t>
      </w:r>
      <w:r>
        <w:tab/>
      </w:r>
      <w:r w:rsidR="00C12E3C" w:rsidRPr="008C713A">
        <w:t xml:space="preserve">IoT-NTN </w:t>
      </w:r>
      <w:r w:rsidR="00C12E3C">
        <w:t xml:space="preserve">eMTC </w:t>
      </w:r>
      <w:r w:rsidR="00C12E3C" w:rsidRPr="008C713A">
        <w:t xml:space="preserve">Link Budgets for High-Value </w:t>
      </w:r>
      <w:r w:rsidR="00C12E3C">
        <w:t xml:space="preserve">IoT </w:t>
      </w:r>
      <w:r w:rsidR="00C12E3C" w:rsidRPr="008C713A">
        <w:t>Use Cases</w:t>
      </w:r>
      <w:r>
        <w:t xml:space="preserve"> </w:t>
      </w:r>
    </w:p>
    <w:p w14:paraId="0EBA3600" w14:textId="0E32ED6E" w:rsidR="009F347D" w:rsidRPr="00545AF2" w:rsidRDefault="009F347D" w:rsidP="000F1899">
      <w:pPr>
        <w:jc w:val="both"/>
        <w:rPr>
          <w:sz w:val="22"/>
          <w:lang w:eastAsia="zh-CN"/>
        </w:rPr>
      </w:pPr>
      <w:r w:rsidRPr="00545AF2">
        <w:rPr>
          <w:sz w:val="22"/>
          <w:lang w:eastAsia="zh-CN"/>
        </w:rPr>
        <w:t>In RAN WG1#104bis-e,</w:t>
      </w:r>
      <w:r w:rsidR="0005037F">
        <w:rPr>
          <w:sz w:val="22"/>
          <w:lang w:eastAsia="zh-CN"/>
        </w:rPr>
        <w:t xml:space="preserve"> </w:t>
      </w:r>
      <w:r w:rsidRPr="00545AF2">
        <w:rPr>
          <w:sz w:val="22"/>
          <w:lang w:eastAsia="zh-CN"/>
        </w:rPr>
        <w:t xml:space="preserve">several companies provided link-budget results for the IoT NTN </w:t>
      </w:r>
      <w:r w:rsidR="00D2636D" w:rsidRPr="00545AF2">
        <w:rPr>
          <w:sz w:val="22"/>
          <w:lang w:eastAsia="zh-CN"/>
        </w:rPr>
        <w:t>scenarios</w:t>
      </w:r>
      <w:r w:rsidRPr="00545AF2">
        <w:rPr>
          <w:sz w:val="22"/>
          <w:lang w:eastAsia="zh-CN"/>
        </w:rPr>
        <w:t xml:space="preserve"> </w:t>
      </w:r>
      <w:r w:rsidR="00CE3ECA">
        <w:rPr>
          <w:sz w:val="22"/>
          <w:lang w:eastAsia="zh-CN"/>
        </w:rPr>
        <w:fldChar w:fldCharType="begin"/>
      </w:r>
      <w:r w:rsidR="00CE3ECA">
        <w:rPr>
          <w:sz w:val="22"/>
          <w:lang w:eastAsia="zh-CN"/>
        </w:rPr>
        <w:instrText xml:space="preserve"> REF _Ref71204205 \r \h </w:instrText>
      </w:r>
      <w:r w:rsidR="00CE3ECA">
        <w:rPr>
          <w:sz w:val="22"/>
          <w:lang w:eastAsia="zh-CN"/>
        </w:rPr>
      </w:r>
      <w:r w:rsidR="00CE3ECA">
        <w:rPr>
          <w:sz w:val="22"/>
          <w:lang w:eastAsia="zh-CN"/>
        </w:rPr>
        <w:fldChar w:fldCharType="separate"/>
      </w:r>
      <w:r w:rsidR="00BA71E2">
        <w:rPr>
          <w:sz w:val="22"/>
          <w:lang w:eastAsia="zh-CN"/>
        </w:rPr>
        <w:t>[4]</w:t>
      </w:r>
      <w:r w:rsidR="00CE3ECA">
        <w:rPr>
          <w:sz w:val="22"/>
          <w:lang w:eastAsia="zh-CN"/>
        </w:rPr>
        <w:fldChar w:fldCharType="end"/>
      </w:r>
      <w:r w:rsidR="000F1899" w:rsidRPr="00545AF2">
        <w:rPr>
          <w:sz w:val="22"/>
          <w:lang w:eastAsia="zh-CN"/>
        </w:rPr>
        <w:t xml:space="preserve"> </w:t>
      </w:r>
      <w:r w:rsidR="0005037F">
        <w:rPr>
          <w:sz w:val="22"/>
          <w:lang w:eastAsia="zh-CN"/>
        </w:rPr>
        <w:t xml:space="preserve"> </w:t>
      </w:r>
      <w:r w:rsidR="000F1899" w:rsidRPr="00545AF2">
        <w:rPr>
          <w:sz w:val="22"/>
          <w:lang w:eastAsia="zh-CN"/>
        </w:rPr>
        <w:t>which</w:t>
      </w:r>
      <w:r w:rsidR="001F2DC7" w:rsidRPr="00545AF2">
        <w:rPr>
          <w:sz w:val="22"/>
          <w:lang w:eastAsia="zh-CN"/>
        </w:rPr>
        <w:t xml:space="preserve"> show</w:t>
      </w:r>
      <w:r w:rsidR="00182C40">
        <w:rPr>
          <w:sz w:val="22"/>
          <w:lang w:eastAsia="zh-CN"/>
        </w:rPr>
        <w:t xml:space="preserve"> </w:t>
      </w:r>
      <w:r w:rsidR="001F2DC7" w:rsidRPr="00545AF2">
        <w:rPr>
          <w:sz w:val="22"/>
          <w:lang w:eastAsia="zh-CN"/>
        </w:rPr>
        <w:t xml:space="preserve">the </w:t>
      </w:r>
      <w:r w:rsidRPr="00545AF2">
        <w:rPr>
          <w:sz w:val="22"/>
          <w:lang w:eastAsia="zh-CN"/>
        </w:rPr>
        <w:t>CNR expected for Rel13 eMTC channels over a satellite link.</w:t>
      </w:r>
    </w:p>
    <w:p w14:paraId="007F61CE" w14:textId="401DB22A" w:rsidR="00F7221E" w:rsidRDefault="00E44590" w:rsidP="004455FE">
      <w:pPr>
        <w:jc w:val="both"/>
        <w:rPr>
          <w:sz w:val="22"/>
          <w:lang w:eastAsia="zh-CN"/>
        </w:rPr>
      </w:pPr>
      <w:r w:rsidRPr="002C2925">
        <w:rPr>
          <w:sz w:val="22"/>
          <w:lang w:val="en-GB" w:eastAsia="zh-CN"/>
        </w:rPr>
        <w:t>Omnispace takes the view that 1 x 180kHz uplink is required to support high-value IoT use cases, with the baseline UE (PC3)</w:t>
      </w:r>
      <w:r w:rsidR="00B06E4C">
        <w:rPr>
          <w:sz w:val="22"/>
          <w:lang w:eastAsia="zh-CN"/>
        </w:rPr>
        <w:t xml:space="preserve"> and </w:t>
      </w:r>
      <w:r w:rsidR="004455FE" w:rsidRPr="00545AF2">
        <w:rPr>
          <w:sz w:val="22"/>
          <w:lang w:eastAsia="zh-CN"/>
        </w:rPr>
        <w:t xml:space="preserve">eMTC </w:t>
      </w:r>
      <w:r w:rsidR="001719DC">
        <w:rPr>
          <w:sz w:val="22"/>
          <w:lang w:eastAsia="zh-CN"/>
        </w:rPr>
        <w:t>l</w:t>
      </w:r>
      <w:r w:rsidR="004455FE" w:rsidRPr="00545AF2">
        <w:rPr>
          <w:sz w:val="22"/>
          <w:lang w:eastAsia="zh-CN"/>
        </w:rPr>
        <w:t xml:space="preserve">ink budget calculations for Set1 and Set2 </w:t>
      </w:r>
      <w:r w:rsidR="009201A1">
        <w:rPr>
          <w:sz w:val="22"/>
          <w:lang w:eastAsia="zh-CN"/>
        </w:rPr>
        <w:t xml:space="preserve">satellites </w:t>
      </w:r>
      <w:r w:rsidR="004455FE" w:rsidRPr="00545AF2">
        <w:rPr>
          <w:sz w:val="22"/>
          <w:lang w:eastAsia="zh-CN"/>
        </w:rPr>
        <w:t xml:space="preserve">summarized in </w:t>
      </w:r>
      <w:r w:rsidR="004455FE" w:rsidRPr="00545AF2">
        <w:rPr>
          <w:sz w:val="22"/>
          <w:lang w:eastAsia="zh-CN"/>
        </w:rPr>
        <w:fldChar w:fldCharType="begin"/>
      </w:r>
      <w:r w:rsidR="004455FE" w:rsidRPr="00545AF2">
        <w:rPr>
          <w:sz w:val="22"/>
          <w:lang w:eastAsia="zh-CN"/>
        </w:rPr>
        <w:instrText xml:space="preserve"> REF _Ref70415959 \h  \* MERGEFORMAT </w:instrText>
      </w:r>
      <w:r w:rsidR="004455FE" w:rsidRPr="00545AF2">
        <w:rPr>
          <w:sz w:val="22"/>
          <w:lang w:eastAsia="zh-CN"/>
        </w:rPr>
      </w:r>
      <w:r w:rsidR="004455FE" w:rsidRPr="00545AF2">
        <w:rPr>
          <w:sz w:val="22"/>
          <w:lang w:eastAsia="zh-CN"/>
        </w:rPr>
        <w:fldChar w:fldCharType="separate"/>
      </w:r>
      <w:r w:rsidR="00BA71E2" w:rsidRPr="00BA71E2">
        <w:rPr>
          <w:sz w:val="22"/>
          <w:lang w:eastAsia="zh-CN"/>
        </w:rPr>
        <w:t>Table 1</w:t>
      </w:r>
      <w:r w:rsidR="004455FE" w:rsidRPr="00545AF2">
        <w:rPr>
          <w:sz w:val="22"/>
          <w:lang w:eastAsia="zh-CN"/>
        </w:rPr>
        <w:fldChar w:fldCharType="end"/>
      </w:r>
      <w:r w:rsidR="00182C40">
        <w:rPr>
          <w:sz w:val="22"/>
          <w:lang w:eastAsia="zh-CN"/>
        </w:rPr>
        <w:t xml:space="preserve"> below</w:t>
      </w:r>
      <w:r w:rsidR="004455FE" w:rsidRPr="00545AF2">
        <w:rPr>
          <w:sz w:val="22"/>
          <w:lang w:eastAsia="zh-CN"/>
        </w:rPr>
        <w:t>. We have assumed</w:t>
      </w:r>
      <w:r w:rsidR="00182C40">
        <w:rPr>
          <w:sz w:val="22"/>
          <w:lang w:eastAsia="zh-CN"/>
        </w:rPr>
        <w:t xml:space="preserve"> </w:t>
      </w:r>
      <w:r w:rsidR="00881EAD">
        <w:rPr>
          <w:sz w:val="22"/>
          <w:lang w:eastAsia="zh-CN"/>
        </w:rPr>
        <w:t xml:space="preserve">an </w:t>
      </w:r>
      <w:r w:rsidR="004455FE" w:rsidRPr="00545AF2">
        <w:rPr>
          <w:sz w:val="22"/>
          <w:lang w:eastAsia="zh-CN"/>
        </w:rPr>
        <w:t xml:space="preserve">eMTC </w:t>
      </w:r>
      <w:r w:rsidR="00750444">
        <w:rPr>
          <w:sz w:val="22"/>
          <w:lang w:eastAsia="zh-CN"/>
        </w:rPr>
        <w:t>B</w:t>
      </w:r>
      <w:r w:rsidR="004455FE" w:rsidRPr="00545AF2">
        <w:rPr>
          <w:sz w:val="22"/>
          <w:lang w:eastAsia="zh-CN"/>
        </w:rPr>
        <w:t>andwidth of 1.08MHz</w:t>
      </w:r>
      <w:r w:rsidR="00D8299D" w:rsidRPr="00545AF2">
        <w:rPr>
          <w:sz w:val="22"/>
          <w:lang w:eastAsia="zh-CN"/>
        </w:rPr>
        <w:t>-DL/</w:t>
      </w:r>
      <w:r w:rsidR="004455FE" w:rsidRPr="00545AF2">
        <w:rPr>
          <w:sz w:val="22"/>
          <w:lang w:eastAsia="zh-CN"/>
        </w:rPr>
        <w:t>1x180KHz</w:t>
      </w:r>
      <w:r w:rsidR="00D8299D" w:rsidRPr="00545AF2">
        <w:rPr>
          <w:sz w:val="22"/>
          <w:lang w:eastAsia="zh-CN"/>
        </w:rPr>
        <w:t>-UL</w:t>
      </w:r>
      <w:r w:rsidR="00881EAD">
        <w:rPr>
          <w:sz w:val="22"/>
          <w:lang w:eastAsia="zh-CN"/>
        </w:rPr>
        <w:t xml:space="preserve">, </w:t>
      </w:r>
      <w:r w:rsidR="00D8299D" w:rsidRPr="00545AF2">
        <w:rPr>
          <w:sz w:val="22"/>
          <w:lang w:eastAsia="zh-CN"/>
        </w:rPr>
        <w:t xml:space="preserve">and </w:t>
      </w:r>
      <w:r w:rsidR="000A3868">
        <w:rPr>
          <w:sz w:val="22"/>
          <w:lang w:eastAsia="zh-CN"/>
        </w:rPr>
        <w:t xml:space="preserve">a PC3 </w:t>
      </w:r>
      <w:r w:rsidR="00D8299D" w:rsidRPr="00545AF2">
        <w:rPr>
          <w:sz w:val="22"/>
          <w:lang w:eastAsia="zh-CN"/>
        </w:rPr>
        <w:t>UE</w:t>
      </w:r>
      <w:r w:rsidR="00A2051A">
        <w:rPr>
          <w:sz w:val="22"/>
          <w:lang w:eastAsia="zh-CN"/>
        </w:rPr>
        <w:t xml:space="preserve">. This configuration </w:t>
      </w:r>
      <w:r w:rsidR="004455FE" w:rsidRPr="00545AF2">
        <w:rPr>
          <w:sz w:val="22"/>
          <w:lang w:eastAsia="zh-CN"/>
        </w:rPr>
        <w:t>will meet</w:t>
      </w:r>
      <w:r w:rsidR="001D4B0D">
        <w:rPr>
          <w:sz w:val="22"/>
          <w:lang w:eastAsia="zh-CN"/>
        </w:rPr>
        <w:t xml:space="preserve"> </w:t>
      </w:r>
      <w:r w:rsidR="00CE5E35">
        <w:rPr>
          <w:sz w:val="22"/>
          <w:lang w:eastAsia="zh-CN"/>
        </w:rPr>
        <w:t xml:space="preserve">the requirements for </w:t>
      </w:r>
      <w:r w:rsidR="001D4B0D">
        <w:rPr>
          <w:sz w:val="22"/>
          <w:lang w:eastAsia="zh-CN"/>
        </w:rPr>
        <w:t xml:space="preserve">high </w:t>
      </w:r>
      <w:r w:rsidR="006D07EF">
        <w:rPr>
          <w:sz w:val="22"/>
          <w:lang w:eastAsia="zh-CN"/>
        </w:rPr>
        <w:t>v</w:t>
      </w:r>
      <w:r w:rsidR="001D4B0D">
        <w:rPr>
          <w:sz w:val="22"/>
          <w:lang w:eastAsia="zh-CN"/>
        </w:rPr>
        <w:t>alue IoT use-case</w:t>
      </w:r>
      <w:r w:rsidR="00CE5E35">
        <w:rPr>
          <w:sz w:val="22"/>
          <w:lang w:eastAsia="zh-CN"/>
        </w:rPr>
        <w:t>s</w:t>
      </w:r>
      <w:r w:rsidR="001D4B0D">
        <w:rPr>
          <w:sz w:val="22"/>
          <w:lang w:eastAsia="zh-CN"/>
        </w:rPr>
        <w:t>.</w:t>
      </w:r>
    </w:p>
    <w:p w14:paraId="35AC8ADE" w14:textId="77777777" w:rsidR="00BB2236" w:rsidRDefault="00BB2236" w:rsidP="004455FE">
      <w:pPr>
        <w:jc w:val="both"/>
        <w:rPr>
          <w:sz w:val="22"/>
          <w:lang w:eastAsia="zh-CN"/>
        </w:rPr>
      </w:pPr>
    </w:p>
    <w:tbl>
      <w:tblPr>
        <w:tblW w:w="10450" w:type="dxa"/>
        <w:jc w:val="center"/>
        <w:tblLook w:val="04A0" w:firstRow="1" w:lastRow="0" w:firstColumn="1" w:lastColumn="0" w:noHBand="0" w:noVBand="1"/>
      </w:tblPr>
      <w:tblGrid>
        <w:gridCol w:w="2110"/>
        <w:gridCol w:w="690"/>
        <w:gridCol w:w="690"/>
        <w:gridCol w:w="690"/>
        <w:gridCol w:w="690"/>
        <w:gridCol w:w="690"/>
        <w:gridCol w:w="690"/>
        <w:gridCol w:w="700"/>
        <w:gridCol w:w="700"/>
        <w:gridCol w:w="700"/>
        <w:gridCol w:w="700"/>
        <w:gridCol w:w="700"/>
        <w:gridCol w:w="700"/>
      </w:tblGrid>
      <w:tr w:rsidR="00F16EF8" w:rsidRPr="00F16EF8" w14:paraId="04D2DFB6" w14:textId="77777777" w:rsidTr="00081152">
        <w:trPr>
          <w:trHeight w:val="270"/>
          <w:jc w:val="center"/>
        </w:trPr>
        <w:tc>
          <w:tcPr>
            <w:tcW w:w="2110" w:type="dxa"/>
            <w:vMerge w:val="restart"/>
            <w:tcBorders>
              <w:top w:val="single" w:sz="8" w:space="0" w:color="auto"/>
              <w:left w:val="single" w:sz="8" w:space="0" w:color="auto"/>
              <w:bottom w:val="single" w:sz="8" w:space="0" w:color="000000"/>
              <w:right w:val="single" w:sz="8" w:space="0" w:color="auto"/>
            </w:tcBorders>
            <w:shd w:val="clear" w:color="000000" w:fill="EBF1DE"/>
            <w:noWrap/>
            <w:vAlign w:val="center"/>
            <w:hideMark/>
          </w:tcPr>
          <w:p w14:paraId="64DC7E76" w14:textId="77777777" w:rsidR="00F16EF8" w:rsidRPr="00F16EF8" w:rsidRDefault="00F16EF8" w:rsidP="00F16EF8">
            <w:pPr>
              <w:spacing w:after="0" w:line="240" w:lineRule="auto"/>
              <w:jc w:val="center"/>
              <w:rPr>
                <w:rFonts w:ascii="Times New Roman" w:eastAsia="Times New Roman" w:hAnsi="Times New Roman" w:cs="Times New Roman"/>
                <w:b/>
                <w:bCs/>
                <w:color w:val="000000"/>
                <w:szCs w:val="20"/>
                <w:lang w:val="en-GB" w:eastAsia="en-GB"/>
              </w:rPr>
            </w:pPr>
            <w:r w:rsidRPr="00F16EF8">
              <w:rPr>
                <w:rFonts w:ascii="Times New Roman" w:eastAsia="Times New Roman" w:hAnsi="Times New Roman" w:cs="Times New Roman"/>
                <w:b/>
                <w:bCs/>
                <w:color w:val="000000"/>
                <w:szCs w:val="20"/>
                <w:lang w:val="en-GB" w:eastAsia="en-GB"/>
              </w:rPr>
              <w:t>UE-PC3 eMTC</w:t>
            </w:r>
          </w:p>
        </w:tc>
        <w:tc>
          <w:tcPr>
            <w:tcW w:w="4140" w:type="dxa"/>
            <w:gridSpan w:val="6"/>
            <w:tcBorders>
              <w:top w:val="single" w:sz="8" w:space="0" w:color="auto"/>
              <w:left w:val="nil"/>
              <w:bottom w:val="single" w:sz="4" w:space="0" w:color="auto"/>
              <w:right w:val="single" w:sz="4" w:space="0" w:color="auto"/>
            </w:tcBorders>
            <w:shd w:val="clear" w:color="000000" w:fill="D9D9D9"/>
            <w:noWrap/>
            <w:hideMark/>
          </w:tcPr>
          <w:p w14:paraId="79EC58BF" w14:textId="77777777" w:rsidR="00F16EF8" w:rsidRPr="00F16EF8" w:rsidRDefault="00F16EF8" w:rsidP="00F16EF8">
            <w:pPr>
              <w:spacing w:after="0" w:line="240" w:lineRule="auto"/>
              <w:jc w:val="center"/>
              <w:rPr>
                <w:rFonts w:ascii="Times New Roman" w:eastAsia="Times New Roman" w:hAnsi="Times New Roman" w:cs="Times New Roman"/>
                <w:b/>
                <w:bCs/>
                <w:color w:val="000000"/>
                <w:sz w:val="22"/>
                <w:lang w:val="en-GB" w:eastAsia="en-GB"/>
              </w:rPr>
            </w:pPr>
            <w:r w:rsidRPr="00F16EF8">
              <w:rPr>
                <w:rFonts w:ascii="Times New Roman" w:eastAsia="Times New Roman" w:hAnsi="Times New Roman" w:cs="Times New Roman"/>
                <w:b/>
                <w:bCs/>
                <w:color w:val="000000"/>
                <w:sz w:val="22"/>
                <w:lang w:val="en-GB" w:eastAsia="en-GB"/>
              </w:rPr>
              <w:t>Set1 eMTC</w:t>
            </w:r>
          </w:p>
        </w:tc>
        <w:tc>
          <w:tcPr>
            <w:tcW w:w="4200" w:type="dxa"/>
            <w:gridSpan w:val="6"/>
            <w:tcBorders>
              <w:top w:val="single" w:sz="8" w:space="0" w:color="auto"/>
              <w:left w:val="single" w:sz="8" w:space="0" w:color="auto"/>
              <w:bottom w:val="single" w:sz="4" w:space="0" w:color="auto"/>
              <w:right w:val="single" w:sz="8" w:space="0" w:color="000000"/>
            </w:tcBorders>
            <w:shd w:val="clear" w:color="000000" w:fill="D9D9D9"/>
            <w:noWrap/>
            <w:hideMark/>
          </w:tcPr>
          <w:p w14:paraId="7B158D19" w14:textId="77777777" w:rsidR="00F16EF8" w:rsidRPr="00F16EF8" w:rsidRDefault="00F16EF8" w:rsidP="00F16EF8">
            <w:pPr>
              <w:spacing w:after="0" w:line="240" w:lineRule="auto"/>
              <w:jc w:val="center"/>
              <w:rPr>
                <w:rFonts w:ascii="Times New Roman" w:eastAsia="Times New Roman" w:hAnsi="Times New Roman" w:cs="Times New Roman"/>
                <w:b/>
                <w:bCs/>
                <w:color w:val="000000"/>
                <w:sz w:val="22"/>
                <w:lang w:val="en-GB" w:eastAsia="en-GB"/>
              </w:rPr>
            </w:pPr>
            <w:r w:rsidRPr="00F16EF8">
              <w:rPr>
                <w:rFonts w:ascii="Times New Roman" w:eastAsia="Times New Roman" w:hAnsi="Times New Roman" w:cs="Times New Roman"/>
                <w:b/>
                <w:bCs/>
                <w:color w:val="000000"/>
                <w:sz w:val="22"/>
                <w:lang w:val="en-GB" w:eastAsia="en-GB"/>
              </w:rPr>
              <w:t>Set2  eMTC</w:t>
            </w:r>
          </w:p>
        </w:tc>
      </w:tr>
      <w:tr w:rsidR="00F16EF8" w:rsidRPr="00F16EF8" w14:paraId="22E72B76" w14:textId="77777777" w:rsidTr="00081152">
        <w:trPr>
          <w:trHeight w:val="270"/>
          <w:jc w:val="center"/>
        </w:trPr>
        <w:tc>
          <w:tcPr>
            <w:tcW w:w="2110" w:type="dxa"/>
            <w:vMerge/>
            <w:tcBorders>
              <w:top w:val="single" w:sz="8" w:space="0" w:color="auto"/>
              <w:left w:val="single" w:sz="8" w:space="0" w:color="auto"/>
              <w:bottom w:val="single" w:sz="8" w:space="0" w:color="000000"/>
              <w:right w:val="single" w:sz="8" w:space="0" w:color="auto"/>
            </w:tcBorders>
            <w:vAlign w:val="center"/>
            <w:hideMark/>
          </w:tcPr>
          <w:p w14:paraId="28DD04B0" w14:textId="77777777" w:rsidR="00F16EF8" w:rsidRPr="00F16EF8" w:rsidRDefault="00F16EF8" w:rsidP="00F16EF8">
            <w:pPr>
              <w:spacing w:after="0" w:line="240" w:lineRule="auto"/>
              <w:rPr>
                <w:rFonts w:ascii="Times New Roman" w:eastAsia="Times New Roman" w:hAnsi="Times New Roman" w:cs="Times New Roman"/>
                <w:b/>
                <w:bCs/>
                <w:color w:val="000000"/>
                <w:szCs w:val="20"/>
                <w:lang w:val="en-GB" w:eastAsia="en-GB"/>
              </w:rPr>
            </w:pPr>
          </w:p>
        </w:tc>
        <w:tc>
          <w:tcPr>
            <w:tcW w:w="1380" w:type="dxa"/>
            <w:gridSpan w:val="2"/>
            <w:tcBorders>
              <w:top w:val="single" w:sz="4" w:space="0" w:color="auto"/>
              <w:left w:val="nil"/>
              <w:bottom w:val="single" w:sz="4" w:space="0" w:color="auto"/>
              <w:right w:val="single" w:sz="4" w:space="0" w:color="auto"/>
            </w:tcBorders>
            <w:shd w:val="clear" w:color="000000" w:fill="D9D9D9"/>
            <w:noWrap/>
            <w:hideMark/>
          </w:tcPr>
          <w:p w14:paraId="420996EC" w14:textId="77777777" w:rsidR="00F16EF8" w:rsidRPr="00F16EF8" w:rsidRDefault="00F16EF8" w:rsidP="00F16EF8">
            <w:pPr>
              <w:spacing w:after="0" w:line="240" w:lineRule="auto"/>
              <w:jc w:val="center"/>
              <w:rPr>
                <w:rFonts w:ascii="Times New Roman" w:eastAsia="Times New Roman" w:hAnsi="Times New Roman" w:cs="Times New Roman"/>
                <w:b/>
                <w:bCs/>
                <w:color w:val="000000"/>
                <w:szCs w:val="20"/>
                <w:lang w:val="en-GB" w:eastAsia="en-GB"/>
              </w:rPr>
            </w:pPr>
            <w:r w:rsidRPr="00F16EF8">
              <w:rPr>
                <w:rFonts w:ascii="Times New Roman" w:eastAsia="Times New Roman" w:hAnsi="Times New Roman" w:cs="Times New Roman"/>
                <w:b/>
                <w:bCs/>
                <w:color w:val="000000"/>
                <w:szCs w:val="20"/>
                <w:lang w:val="en-GB" w:eastAsia="en-GB"/>
              </w:rPr>
              <w:t xml:space="preserve">GEO </w:t>
            </w:r>
          </w:p>
        </w:tc>
        <w:tc>
          <w:tcPr>
            <w:tcW w:w="1380" w:type="dxa"/>
            <w:gridSpan w:val="2"/>
            <w:tcBorders>
              <w:top w:val="single" w:sz="4" w:space="0" w:color="auto"/>
              <w:left w:val="nil"/>
              <w:bottom w:val="single" w:sz="4" w:space="0" w:color="auto"/>
              <w:right w:val="single" w:sz="4" w:space="0" w:color="auto"/>
            </w:tcBorders>
            <w:shd w:val="clear" w:color="000000" w:fill="D9D9D9"/>
            <w:noWrap/>
            <w:hideMark/>
          </w:tcPr>
          <w:p w14:paraId="04EFC46A" w14:textId="77777777" w:rsidR="00F16EF8" w:rsidRPr="00F16EF8" w:rsidRDefault="00F16EF8" w:rsidP="00F16EF8">
            <w:pPr>
              <w:spacing w:after="0" w:line="240" w:lineRule="auto"/>
              <w:jc w:val="center"/>
              <w:rPr>
                <w:rFonts w:ascii="Times New Roman" w:eastAsia="Times New Roman" w:hAnsi="Times New Roman" w:cs="Times New Roman"/>
                <w:b/>
                <w:bCs/>
                <w:color w:val="000000"/>
                <w:szCs w:val="20"/>
                <w:lang w:val="en-GB" w:eastAsia="en-GB"/>
              </w:rPr>
            </w:pPr>
            <w:r w:rsidRPr="00F16EF8">
              <w:rPr>
                <w:rFonts w:ascii="Times New Roman" w:eastAsia="Times New Roman" w:hAnsi="Times New Roman" w:cs="Times New Roman"/>
                <w:b/>
                <w:bCs/>
                <w:color w:val="000000"/>
                <w:szCs w:val="20"/>
                <w:lang w:val="en-GB" w:eastAsia="en-GB"/>
              </w:rPr>
              <w:t>LEO-1200</w:t>
            </w:r>
          </w:p>
        </w:tc>
        <w:tc>
          <w:tcPr>
            <w:tcW w:w="1380" w:type="dxa"/>
            <w:gridSpan w:val="2"/>
            <w:tcBorders>
              <w:top w:val="single" w:sz="4" w:space="0" w:color="auto"/>
              <w:left w:val="nil"/>
              <w:bottom w:val="single" w:sz="4" w:space="0" w:color="auto"/>
              <w:right w:val="single" w:sz="4" w:space="0" w:color="auto"/>
            </w:tcBorders>
            <w:shd w:val="clear" w:color="000000" w:fill="D9D9D9"/>
            <w:noWrap/>
            <w:hideMark/>
          </w:tcPr>
          <w:p w14:paraId="7D4EC077" w14:textId="77777777" w:rsidR="00F16EF8" w:rsidRPr="00F16EF8" w:rsidRDefault="00F16EF8" w:rsidP="00F16EF8">
            <w:pPr>
              <w:spacing w:after="0" w:line="240" w:lineRule="auto"/>
              <w:jc w:val="center"/>
              <w:rPr>
                <w:rFonts w:ascii="Times New Roman" w:eastAsia="Times New Roman" w:hAnsi="Times New Roman" w:cs="Times New Roman"/>
                <w:b/>
                <w:bCs/>
                <w:color w:val="000000"/>
                <w:szCs w:val="20"/>
                <w:lang w:val="en-GB" w:eastAsia="en-GB"/>
              </w:rPr>
            </w:pPr>
            <w:r w:rsidRPr="00F16EF8">
              <w:rPr>
                <w:rFonts w:ascii="Times New Roman" w:eastAsia="Times New Roman" w:hAnsi="Times New Roman" w:cs="Times New Roman"/>
                <w:b/>
                <w:bCs/>
                <w:color w:val="000000"/>
                <w:szCs w:val="20"/>
                <w:lang w:val="en-GB" w:eastAsia="en-GB"/>
              </w:rPr>
              <w:t xml:space="preserve">LEO-600 </w:t>
            </w:r>
          </w:p>
        </w:tc>
        <w:tc>
          <w:tcPr>
            <w:tcW w:w="1400" w:type="dxa"/>
            <w:gridSpan w:val="2"/>
            <w:tcBorders>
              <w:top w:val="single" w:sz="4" w:space="0" w:color="auto"/>
              <w:left w:val="single" w:sz="8" w:space="0" w:color="auto"/>
              <w:bottom w:val="single" w:sz="4" w:space="0" w:color="auto"/>
              <w:right w:val="single" w:sz="4" w:space="0" w:color="auto"/>
            </w:tcBorders>
            <w:shd w:val="clear" w:color="000000" w:fill="D9D9D9"/>
            <w:noWrap/>
            <w:hideMark/>
          </w:tcPr>
          <w:p w14:paraId="513A8AA4" w14:textId="77777777" w:rsidR="00F16EF8" w:rsidRPr="00F16EF8" w:rsidRDefault="00F16EF8" w:rsidP="00F16EF8">
            <w:pPr>
              <w:spacing w:after="0" w:line="240" w:lineRule="auto"/>
              <w:jc w:val="center"/>
              <w:rPr>
                <w:rFonts w:ascii="Times New Roman" w:eastAsia="Times New Roman" w:hAnsi="Times New Roman" w:cs="Times New Roman"/>
                <w:b/>
                <w:bCs/>
                <w:color w:val="000000"/>
                <w:szCs w:val="20"/>
                <w:lang w:val="en-GB" w:eastAsia="en-GB"/>
              </w:rPr>
            </w:pPr>
            <w:r w:rsidRPr="00F16EF8">
              <w:rPr>
                <w:rFonts w:ascii="Times New Roman" w:eastAsia="Times New Roman" w:hAnsi="Times New Roman" w:cs="Times New Roman"/>
                <w:b/>
                <w:bCs/>
                <w:color w:val="000000"/>
                <w:szCs w:val="20"/>
                <w:lang w:val="en-GB" w:eastAsia="en-GB"/>
              </w:rPr>
              <w:t xml:space="preserve">GEO </w:t>
            </w:r>
          </w:p>
        </w:tc>
        <w:tc>
          <w:tcPr>
            <w:tcW w:w="1400" w:type="dxa"/>
            <w:gridSpan w:val="2"/>
            <w:tcBorders>
              <w:top w:val="single" w:sz="4" w:space="0" w:color="auto"/>
              <w:left w:val="nil"/>
              <w:bottom w:val="single" w:sz="4" w:space="0" w:color="auto"/>
              <w:right w:val="single" w:sz="4" w:space="0" w:color="auto"/>
            </w:tcBorders>
            <w:shd w:val="clear" w:color="000000" w:fill="D9D9D9"/>
            <w:noWrap/>
            <w:hideMark/>
          </w:tcPr>
          <w:p w14:paraId="4DE5A7B2" w14:textId="77777777" w:rsidR="00F16EF8" w:rsidRPr="00F16EF8" w:rsidRDefault="00F16EF8" w:rsidP="00F16EF8">
            <w:pPr>
              <w:spacing w:after="0" w:line="240" w:lineRule="auto"/>
              <w:jc w:val="center"/>
              <w:rPr>
                <w:rFonts w:ascii="Times New Roman" w:eastAsia="Times New Roman" w:hAnsi="Times New Roman" w:cs="Times New Roman"/>
                <w:b/>
                <w:bCs/>
                <w:color w:val="000000"/>
                <w:szCs w:val="20"/>
                <w:lang w:val="en-GB" w:eastAsia="en-GB"/>
              </w:rPr>
            </w:pPr>
            <w:r w:rsidRPr="00F16EF8">
              <w:rPr>
                <w:rFonts w:ascii="Times New Roman" w:eastAsia="Times New Roman" w:hAnsi="Times New Roman" w:cs="Times New Roman"/>
                <w:b/>
                <w:bCs/>
                <w:color w:val="000000"/>
                <w:szCs w:val="20"/>
                <w:lang w:val="en-GB" w:eastAsia="en-GB"/>
              </w:rPr>
              <w:t>LEO-1200</w:t>
            </w:r>
          </w:p>
        </w:tc>
        <w:tc>
          <w:tcPr>
            <w:tcW w:w="1400" w:type="dxa"/>
            <w:gridSpan w:val="2"/>
            <w:tcBorders>
              <w:top w:val="single" w:sz="4" w:space="0" w:color="auto"/>
              <w:left w:val="nil"/>
              <w:bottom w:val="single" w:sz="4" w:space="0" w:color="auto"/>
              <w:right w:val="single" w:sz="8" w:space="0" w:color="000000"/>
            </w:tcBorders>
            <w:shd w:val="clear" w:color="000000" w:fill="D9D9D9"/>
            <w:noWrap/>
            <w:hideMark/>
          </w:tcPr>
          <w:p w14:paraId="7E5F23A3" w14:textId="77777777" w:rsidR="00F16EF8" w:rsidRPr="00F16EF8" w:rsidRDefault="00F16EF8" w:rsidP="00F16EF8">
            <w:pPr>
              <w:spacing w:after="0" w:line="240" w:lineRule="auto"/>
              <w:jc w:val="center"/>
              <w:rPr>
                <w:rFonts w:ascii="Times New Roman" w:eastAsia="Times New Roman" w:hAnsi="Times New Roman" w:cs="Times New Roman"/>
                <w:b/>
                <w:bCs/>
                <w:color w:val="000000"/>
                <w:szCs w:val="20"/>
                <w:lang w:val="en-GB" w:eastAsia="en-GB"/>
              </w:rPr>
            </w:pPr>
            <w:r w:rsidRPr="00F16EF8">
              <w:rPr>
                <w:rFonts w:ascii="Times New Roman" w:eastAsia="Times New Roman" w:hAnsi="Times New Roman" w:cs="Times New Roman"/>
                <w:b/>
                <w:bCs/>
                <w:color w:val="000000"/>
                <w:szCs w:val="20"/>
                <w:lang w:val="en-GB" w:eastAsia="en-GB"/>
              </w:rPr>
              <w:t xml:space="preserve">LEO-600 </w:t>
            </w:r>
          </w:p>
        </w:tc>
      </w:tr>
      <w:tr w:rsidR="00F16EF8" w:rsidRPr="00F16EF8" w14:paraId="438201A3" w14:textId="77777777" w:rsidTr="00081152">
        <w:trPr>
          <w:trHeight w:val="270"/>
          <w:jc w:val="center"/>
        </w:trPr>
        <w:tc>
          <w:tcPr>
            <w:tcW w:w="2110" w:type="dxa"/>
            <w:vMerge/>
            <w:tcBorders>
              <w:top w:val="single" w:sz="8" w:space="0" w:color="auto"/>
              <w:left w:val="single" w:sz="8" w:space="0" w:color="auto"/>
              <w:bottom w:val="single" w:sz="8" w:space="0" w:color="000000"/>
              <w:right w:val="single" w:sz="8" w:space="0" w:color="auto"/>
            </w:tcBorders>
            <w:vAlign w:val="center"/>
            <w:hideMark/>
          </w:tcPr>
          <w:p w14:paraId="197B2277" w14:textId="77777777" w:rsidR="00F16EF8" w:rsidRPr="00F16EF8" w:rsidRDefault="00F16EF8" w:rsidP="00F16EF8">
            <w:pPr>
              <w:spacing w:after="0" w:line="240" w:lineRule="auto"/>
              <w:rPr>
                <w:rFonts w:ascii="Times New Roman" w:eastAsia="Times New Roman" w:hAnsi="Times New Roman" w:cs="Times New Roman"/>
                <w:b/>
                <w:bCs/>
                <w:color w:val="000000"/>
                <w:szCs w:val="20"/>
                <w:lang w:val="en-GB" w:eastAsia="en-GB"/>
              </w:rPr>
            </w:pPr>
          </w:p>
        </w:tc>
        <w:tc>
          <w:tcPr>
            <w:tcW w:w="1380" w:type="dxa"/>
            <w:gridSpan w:val="2"/>
            <w:tcBorders>
              <w:top w:val="single" w:sz="4" w:space="0" w:color="auto"/>
              <w:left w:val="nil"/>
              <w:bottom w:val="single" w:sz="8" w:space="0" w:color="auto"/>
              <w:right w:val="single" w:sz="4" w:space="0" w:color="auto"/>
            </w:tcBorders>
            <w:shd w:val="clear" w:color="000000" w:fill="D9D9D9"/>
            <w:noWrap/>
            <w:vAlign w:val="center"/>
            <w:hideMark/>
          </w:tcPr>
          <w:p w14:paraId="23E5E57B" w14:textId="77777777" w:rsidR="00F16EF8" w:rsidRPr="00F16EF8" w:rsidRDefault="00F16EF8" w:rsidP="00F16EF8">
            <w:pPr>
              <w:spacing w:after="0" w:line="240" w:lineRule="auto"/>
              <w:jc w:val="center"/>
              <w:rPr>
                <w:rFonts w:eastAsia="Times New Roman" w:cs="Arial"/>
                <w:b/>
                <w:bCs/>
                <w:color w:val="000000"/>
                <w:sz w:val="18"/>
                <w:szCs w:val="18"/>
                <w:lang w:val="en-GB" w:eastAsia="en-GB"/>
              </w:rPr>
            </w:pPr>
            <w:r w:rsidRPr="00F16EF8">
              <w:rPr>
                <w:rFonts w:eastAsia="Times New Roman" w:cs="Arial"/>
                <w:b/>
                <w:bCs/>
                <w:color w:val="000000"/>
                <w:sz w:val="18"/>
                <w:szCs w:val="18"/>
                <w:lang w:val="en-GB" w:eastAsia="en-GB"/>
              </w:rPr>
              <w:t>eMTC</w:t>
            </w:r>
          </w:p>
        </w:tc>
        <w:tc>
          <w:tcPr>
            <w:tcW w:w="1380" w:type="dxa"/>
            <w:gridSpan w:val="2"/>
            <w:tcBorders>
              <w:top w:val="single" w:sz="4" w:space="0" w:color="auto"/>
              <w:left w:val="nil"/>
              <w:bottom w:val="single" w:sz="8" w:space="0" w:color="auto"/>
              <w:right w:val="single" w:sz="4" w:space="0" w:color="auto"/>
            </w:tcBorders>
            <w:shd w:val="clear" w:color="000000" w:fill="D9D9D9"/>
            <w:noWrap/>
            <w:vAlign w:val="center"/>
            <w:hideMark/>
          </w:tcPr>
          <w:p w14:paraId="45A166A4" w14:textId="77777777" w:rsidR="00F16EF8" w:rsidRPr="00F16EF8" w:rsidRDefault="00F16EF8" w:rsidP="00F16EF8">
            <w:pPr>
              <w:spacing w:after="0" w:line="240" w:lineRule="auto"/>
              <w:jc w:val="center"/>
              <w:rPr>
                <w:rFonts w:eastAsia="Times New Roman" w:cs="Arial"/>
                <w:b/>
                <w:bCs/>
                <w:color w:val="000000"/>
                <w:sz w:val="18"/>
                <w:szCs w:val="18"/>
                <w:lang w:val="en-GB" w:eastAsia="en-GB"/>
              </w:rPr>
            </w:pPr>
            <w:r w:rsidRPr="00F16EF8">
              <w:rPr>
                <w:rFonts w:eastAsia="Times New Roman" w:cs="Arial"/>
                <w:b/>
                <w:bCs/>
                <w:color w:val="000000"/>
                <w:sz w:val="18"/>
                <w:szCs w:val="18"/>
                <w:lang w:val="en-GB" w:eastAsia="en-GB"/>
              </w:rPr>
              <w:t>eMTC</w:t>
            </w:r>
          </w:p>
        </w:tc>
        <w:tc>
          <w:tcPr>
            <w:tcW w:w="1380" w:type="dxa"/>
            <w:gridSpan w:val="2"/>
            <w:tcBorders>
              <w:top w:val="single" w:sz="4" w:space="0" w:color="auto"/>
              <w:left w:val="nil"/>
              <w:bottom w:val="single" w:sz="8" w:space="0" w:color="auto"/>
              <w:right w:val="single" w:sz="4" w:space="0" w:color="auto"/>
            </w:tcBorders>
            <w:shd w:val="clear" w:color="000000" w:fill="D9D9D9"/>
            <w:noWrap/>
            <w:vAlign w:val="center"/>
            <w:hideMark/>
          </w:tcPr>
          <w:p w14:paraId="5BEB7BF1" w14:textId="77777777" w:rsidR="00F16EF8" w:rsidRPr="00F16EF8" w:rsidRDefault="00F16EF8" w:rsidP="00F16EF8">
            <w:pPr>
              <w:spacing w:after="0" w:line="240" w:lineRule="auto"/>
              <w:jc w:val="center"/>
              <w:rPr>
                <w:rFonts w:eastAsia="Times New Roman" w:cs="Arial"/>
                <w:b/>
                <w:bCs/>
                <w:color w:val="000000"/>
                <w:sz w:val="18"/>
                <w:szCs w:val="18"/>
                <w:lang w:val="en-GB" w:eastAsia="en-GB"/>
              </w:rPr>
            </w:pPr>
            <w:r w:rsidRPr="00F16EF8">
              <w:rPr>
                <w:rFonts w:eastAsia="Times New Roman" w:cs="Arial"/>
                <w:b/>
                <w:bCs/>
                <w:color w:val="000000"/>
                <w:sz w:val="18"/>
                <w:szCs w:val="18"/>
                <w:lang w:val="en-GB" w:eastAsia="en-GB"/>
              </w:rPr>
              <w:t>eMTC</w:t>
            </w:r>
          </w:p>
        </w:tc>
        <w:tc>
          <w:tcPr>
            <w:tcW w:w="1400" w:type="dxa"/>
            <w:gridSpan w:val="2"/>
            <w:tcBorders>
              <w:top w:val="single" w:sz="4" w:space="0" w:color="auto"/>
              <w:left w:val="single" w:sz="8" w:space="0" w:color="auto"/>
              <w:bottom w:val="single" w:sz="8" w:space="0" w:color="auto"/>
              <w:right w:val="single" w:sz="4" w:space="0" w:color="auto"/>
            </w:tcBorders>
            <w:shd w:val="clear" w:color="000000" w:fill="D9D9D9"/>
            <w:noWrap/>
            <w:vAlign w:val="center"/>
            <w:hideMark/>
          </w:tcPr>
          <w:p w14:paraId="73FEA8A3" w14:textId="77777777" w:rsidR="00F16EF8" w:rsidRPr="00F16EF8" w:rsidRDefault="00F16EF8" w:rsidP="00F16EF8">
            <w:pPr>
              <w:spacing w:after="0" w:line="240" w:lineRule="auto"/>
              <w:jc w:val="center"/>
              <w:rPr>
                <w:rFonts w:eastAsia="Times New Roman" w:cs="Arial"/>
                <w:b/>
                <w:bCs/>
                <w:color w:val="000000"/>
                <w:sz w:val="18"/>
                <w:szCs w:val="18"/>
                <w:lang w:val="en-GB" w:eastAsia="en-GB"/>
              </w:rPr>
            </w:pPr>
            <w:r w:rsidRPr="00F16EF8">
              <w:rPr>
                <w:rFonts w:eastAsia="Times New Roman" w:cs="Arial"/>
                <w:b/>
                <w:bCs/>
                <w:color w:val="000000"/>
                <w:sz w:val="18"/>
                <w:szCs w:val="18"/>
                <w:lang w:val="en-GB" w:eastAsia="en-GB"/>
              </w:rPr>
              <w:t>eMTC</w:t>
            </w:r>
          </w:p>
        </w:tc>
        <w:tc>
          <w:tcPr>
            <w:tcW w:w="1400" w:type="dxa"/>
            <w:gridSpan w:val="2"/>
            <w:tcBorders>
              <w:top w:val="single" w:sz="4" w:space="0" w:color="auto"/>
              <w:left w:val="nil"/>
              <w:bottom w:val="single" w:sz="8" w:space="0" w:color="auto"/>
              <w:right w:val="single" w:sz="4" w:space="0" w:color="auto"/>
            </w:tcBorders>
            <w:shd w:val="clear" w:color="000000" w:fill="D9D9D9"/>
            <w:noWrap/>
            <w:vAlign w:val="center"/>
            <w:hideMark/>
          </w:tcPr>
          <w:p w14:paraId="0B985820" w14:textId="77777777" w:rsidR="00F16EF8" w:rsidRPr="00F16EF8" w:rsidRDefault="00F16EF8" w:rsidP="00F16EF8">
            <w:pPr>
              <w:spacing w:after="0" w:line="240" w:lineRule="auto"/>
              <w:jc w:val="center"/>
              <w:rPr>
                <w:rFonts w:eastAsia="Times New Roman" w:cs="Arial"/>
                <w:b/>
                <w:bCs/>
                <w:color w:val="000000"/>
                <w:sz w:val="18"/>
                <w:szCs w:val="18"/>
                <w:lang w:val="en-GB" w:eastAsia="en-GB"/>
              </w:rPr>
            </w:pPr>
            <w:r w:rsidRPr="00F16EF8">
              <w:rPr>
                <w:rFonts w:eastAsia="Times New Roman" w:cs="Arial"/>
                <w:b/>
                <w:bCs/>
                <w:color w:val="000000"/>
                <w:sz w:val="18"/>
                <w:szCs w:val="18"/>
                <w:lang w:val="en-GB" w:eastAsia="en-GB"/>
              </w:rPr>
              <w:t>eMTC</w:t>
            </w:r>
          </w:p>
        </w:tc>
        <w:tc>
          <w:tcPr>
            <w:tcW w:w="1400" w:type="dxa"/>
            <w:gridSpan w:val="2"/>
            <w:tcBorders>
              <w:top w:val="single" w:sz="4" w:space="0" w:color="auto"/>
              <w:left w:val="nil"/>
              <w:bottom w:val="single" w:sz="8" w:space="0" w:color="auto"/>
              <w:right w:val="single" w:sz="8" w:space="0" w:color="000000"/>
            </w:tcBorders>
            <w:shd w:val="clear" w:color="000000" w:fill="D9D9D9"/>
            <w:noWrap/>
            <w:vAlign w:val="center"/>
            <w:hideMark/>
          </w:tcPr>
          <w:p w14:paraId="6E796E1B" w14:textId="77777777" w:rsidR="00F16EF8" w:rsidRPr="00F16EF8" w:rsidRDefault="00F16EF8" w:rsidP="00F16EF8">
            <w:pPr>
              <w:spacing w:after="0" w:line="240" w:lineRule="auto"/>
              <w:jc w:val="center"/>
              <w:rPr>
                <w:rFonts w:eastAsia="Times New Roman" w:cs="Arial"/>
                <w:b/>
                <w:bCs/>
                <w:color w:val="000000"/>
                <w:sz w:val="18"/>
                <w:szCs w:val="18"/>
                <w:lang w:val="en-GB" w:eastAsia="en-GB"/>
              </w:rPr>
            </w:pPr>
            <w:r w:rsidRPr="00F16EF8">
              <w:rPr>
                <w:rFonts w:eastAsia="Times New Roman" w:cs="Arial"/>
                <w:b/>
                <w:bCs/>
                <w:color w:val="000000"/>
                <w:sz w:val="18"/>
                <w:szCs w:val="18"/>
                <w:lang w:val="en-GB" w:eastAsia="en-GB"/>
              </w:rPr>
              <w:t>eMTC</w:t>
            </w:r>
          </w:p>
        </w:tc>
      </w:tr>
      <w:tr w:rsidR="00F16EF8" w:rsidRPr="00F16EF8" w14:paraId="3F8E00C7" w14:textId="77777777" w:rsidTr="00081152">
        <w:trPr>
          <w:trHeight w:val="255"/>
          <w:jc w:val="center"/>
        </w:trPr>
        <w:tc>
          <w:tcPr>
            <w:tcW w:w="2110" w:type="dxa"/>
            <w:tcBorders>
              <w:top w:val="nil"/>
              <w:left w:val="single" w:sz="8" w:space="0" w:color="auto"/>
              <w:bottom w:val="single" w:sz="4" w:space="0" w:color="auto"/>
              <w:right w:val="nil"/>
            </w:tcBorders>
            <w:shd w:val="clear" w:color="auto" w:fill="auto"/>
            <w:noWrap/>
            <w:vAlign w:val="center"/>
            <w:hideMark/>
          </w:tcPr>
          <w:p w14:paraId="6D859F8E" w14:textId="77777777" w:rsidR="00F16EF8" w:rsidRPr="00F16EF8" w:rsidRDefault="00F16EF8" w:rsidP="00F16EF8">
            <w:pPr>
              <w:spacing w:after="0" w:line="240" w:lineRule="auto"/>
              <w:jc w:val="center"/>
              <w:rPr>
                <w:rFonts w:eastAsia="Times New Roman" w:cs="Arial"/>
                <w:b/>
                <w:bCs/>
                <w:color w:val="000000"/>
                <w:sz w:val="18"/>
                <w:szCs w:val="18"/>
                <w:lang w:val="en-GB" w:eastAsia="en-GB"/>
              </w:rPr>
            </w:pPr>
            <w:r w:rsidRPr="00F16EF8">
              <w:rPr>
                <w:rFonts w:eastAsia="Times New Roman" w:cs="Arial"/>
                <w:b/>
                <w:bCs/>
                <w:color w:val="000000"/>
                <w:sz w:val="18"/>
                <w:szCs w:val="18"/>
                <w:lang w:val="en-GB" w:eastAsia="en-GB"/>
              </w:rPr>
              <w:t>Transmission mode</w:t>
            </w:r>
          </w:p>
        </w:tc>
        <w:tc>
          <w:tcPr>
            <w:tcW w:w="690" w:type="dxa"/>
            <w:tcBorders>
              <w:top w:val="nil"/>
              <w:left w:val="single" w:sz="8" w:space="0" w:color="auto"/>
              <w:bottom w:val="single" w:sz="4" w:space="0" w:color="auto"/>
              <w:right w:val="single" w:sz="4" w:space="0" w:color="auto"/>
            </w:tcBorders>
            <w:shd w:val="clear" w:color="auto" w:fill="auto"/>
            <w:noWrap/>
            <w:vAlign w:val="center"/>
            <w:hideMark/>
          </w:tcPr>
          <w:p w14:paraId="3A470685"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DL</w:t>
            </w:r>
          </w:p>
        </w:tc>
        <w:tc>
          <w:tcPr>
            <w:tcW w:w="690" w:type="dxa"/>
            <w:tcBorders>
              <w:top w:val="nil"/>
              <w:left w:val="nil"/>
              <w:bottom w:val="single" w:sz="4" w:space="0" w:color="auto"/>
              <w:right w:val="single" w:sz="4" w:space="0" w:color="auto"/>
            </w:tcBorders>
            <w:shd w:val="clear" w:color="auto" w:fill="auto"/>
            <w:noWrap/>
            <w:vAlign w:val="center"/>
            <w:hideMark/>
          </w:tcPr>
          <w:p w14:paraId="51D1E093"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UL</w:t>
            </w:r>
          </w:p>
        </w:tc>
        <w:tc>
          <w:tcPr>
            <w:tcW w:w="690" w:type="dxa"/>
            <w:tcBorders>
              <w:top w:val="nil"/>
              <w:left w:val="nil"/>
              <w:bottom w:val="single" w:sz="4" w:space="0" w:color="auto"/>
              <w:right w:val="single" w:sz="4" w:space="0" w:color="auto"/>
            </w:tcBorders>
            <w:shd w:val="clear" w:color="auto" w:fill="auto"/>
            <w:noWrap/>
            <w:vAlign w:val="center"/>
            <w:hideMark/>
          </w:tcPr>
          <w:p w14:paraId="7BA15372"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DL</w:t>
            </w:r>
          </w:p>
        </w:tc>
        <w:tc>
          <w:tcPr>
            <w:tcW w:w="690" w:type="dxa"/>
            <w:tcBorders>
              <w:top w:val="nil"/>
              <w:left w:val="nil"/>
              <w:bottom w:val="single" w:sz="4" w:space="0" w:color="auto"/>
              <w:right w:val="single" w:sz="4" w:space="0" w:color="auto"/>
            </w:tcBorders>
            <w:shd w:val="clear" w:color="auto" w:fill="auto"/>
            <w:noWrap/>
            <w:vAlign w:val="center"/>
            <w:hideMark/>
          </w:tcPr>
          <w:p w14:paraId="770B39C4"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UL</w:t>
            </w:r>
          </w:p>
        </w:tc>
        <w:tc>
          <w:tcPr>
            <w:tcW w:w="690" w:type="dxa"/>
            <w:tcBorders>
              <w:top w:val="nil"/>
              <w:left w:val="nil"/>
              <w:bottom w:val="single" w:sz="4" w:space="0" w:color="auto"/>
              <w:right w:val="single" w:sz="4" w:space="0" w:color="auto"/>
            </w:tcBorders>
            <w:shd w:val="clear" w:color="auto" w:fill="auto"/>
            <w:noWrap/>
            <w:vAlign w:val="center"/>
            <w:hideMark/>
          </w:tcPr>
          <w:p w14:paraId="04B41010"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DL</w:t>
            </w:r>
          </w:p>
        </w:tc>
        <w:tc>
          <w:tcPr>
            <w:tcW w:w="690" w:type="dxa"/>
            <w:tcBorders>
              <w:top w:val="nil"/>
              <w:left w:val="nil"/>
              <w:bottom w:val="single" w:sz="4" w:space="0" w:color="auto"/>
              <w:right w:val="nil"/>
            </w:tcBorders>
            <w:shd w:val="clear" w:color="auto" w:fill="auto"/>
            <w:noWrap/>
            <w:vAlign w:val="center"/>
            <w:hideMark/>
          </w:tcPr>
          <w:p w14:paraId="0AD8F308"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UL</w:t>
            </w:r>
          </w:p>
        </w:tc>
        <w:tc>
          <w:tcPr>
            <w:tcW w:w="700" w:type="dxa"/>
            <w:tcBorders>
              <w:top w:val="nil"/>
              <w:left w:val="single" w:sz="8" w:space="0" w:color="auto"/>
              <w:bottom w:val="single" w:sz="4" w:space="0" w:color="auto"/>
              <w:right w:val="single" w:sz="4" w:space="0" w:color="auto"/>
            </w:tcBorders>
            <w:shd w:val="clear" w:color="auto" w:fill="auto"/>
            <w:noWrap/>
            <w:vAlign w:val="center"/>
            <w:hideMark/>
          </w:tcPr>
          <w:p w14:paraId="3FF03CBE"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DL</w:t>
            </w:r>
          </w:p>
        </w:tc>
        <w:tc>
          <w:tcPr>
            <w:tcW w:w="700" w:type="dxa"/>
            <w:tcBorders>
              <w:top w:val="nil"/>
              <w:left w:val="nil"/>
              <w:bottom w:val="single" w:sz="4" w:space="0" w:color="auto"/>
              <w:right w:val="single" w:sz="4" w:space="0" w:color="auto"/>
            </w:tcBorders>
            <w:shd w:val="clear" w:color="auto" w:fill="auto"/>
            <w:noWrap/>
            <w:vAlign w:val="center"/>
            <w:hideMark/>
          </w:tcPr>
          <w:p w14:paraId="7E571FC2"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UL</w:t>
            </w:r>
          </w:p>
        </w:tc>
        <w:tc>
          <w:tcPr>
            <w:tcW w:w="700" w:type="dxa"/>
            <w:tcBorders>
              <w:top w:val="nil"/>
              <w:left w:val="nil"/>
              <w:bottom w:val="single" w:sz="4" w:space="0" w:color="auto"/>
              <w:right w:val="single" w:sz="4" w:space="0" w:color="auto"/>
            </w:tcBorders>
            <w:shd w:val="clear" w:color="auto" w:fill="auto"/>
            <w:noWrap/>
            <w:vAlign w:val="center"/>
            <w:hideMark/>
          </w:tcPr>
          <w:p w14:paraId="6F6A5467"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DL</w:t>
            </w:r>
          </w:p>
        </w:tc>
        <w:tc>
          <w:tcPr>
            <w:tcW w:w="700" w:type="dxa"/>
            <w:tcBorders>
              <w:top w:val="nil"/>
              <w:left w:val="nil"/>
              <w:bottom w:val="single" w:sz="4" w:space="0" w:color="auto"/>
              <w:right w:val="single" w:sz="4" w:space="0" w:color="auto"/>
            </w:tcBorders>
            <w:shd w:val="clear" w:color="auto" w:fill="auto"/>
            <w:noWrap/>
            <w:vAlign w:val="center"/>
            <w:hideMark/>
          </w:tcPr>
          <w:p w14:paraId="5D34E83B"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UL</w:t>
            </w:r>
          </w:p>
        </w:tc>
        <w:tc>
          <w:tcPr>
            <w:tcW w:w="700" w:type="dxa"/>
            <w:tcBorders>
              <w:top w:val="nil"/>
              <w:left w:val="nil"/>
              <w:bottom w:val="single" w:sz="4" w:space="0" w:color="auto"/>
              <w:right w:val="single" w:sz="4" w:space="0" w:color="auto"/>
            </w:tcBorders>
            <w:shd w:val="clear" w:color="auto" w:fill="auto"/>
            <w:noWrap/>
            <w:vAlign w:val="center"/>
            <w:hideMark/>
          </w:tcPr>
          <w:p w14:paraId="51BE002A"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DL</w:t>
            </w:r>
          </w:p>
        </w:tc>
        <w:tc>
          <w:tcPr>
            <w:tcW w:w="700" w:type="dxa"/>
            <w:tcBorders>
              <w:top w:val="nil"/>
              <w:left w:val="nil"/>
              <w:bottom w:val="single" w:sz="4" w:space="0" w:color="auto"/>
              <w:right w:val="single" w:sz="8" w:space="0" w:color="auto"/>
            </w:tcBorders>
            <w:shd w:val="clear" w:color="auto" w:fill="auto"/>
            <w:noWrap/>
            <w:vAlign w:val="center"/>
            <w:hideMark/>
          </w:tcPr>
          <w:p w14:paraId="01193835"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UL</w:t>
            </w:r>
          </w:p>
        </w:tc>
      </w:tr>
      <w:tr w:rsidR="00F16EF8" w:rsidRPr="00F16EF8" w14:paraId="160C4EEB" w14:textId="77777777" w:rsidTr="00081152">
        <w:trPr>
          <w:trHeight w:val="255"/>
          <w:jc w:val="center"/>
        </w:trPr>
        <w:tc>
          <w:tcPr>
            <w:tcW w:w="2110" w:type="dxa"/>
            <w:tcBorders>
              <w:top w:val="nil"/>
              <w:left w:val="single" w:sz="8" w:space="0" w:color="auto"/>
              <w:bottom w:val="single" w:sz="4" w:space="0" w:color="auto"/>
              <w:right w:val="nil"/>
            </w:tcBorders>
            <w:shd w:val="clear" w:color="auto" w:fill="auto"/>
            <w:noWrap/>
            <w:vAlign w:val="center"/>
            <w:hideMark/>
          </w:tcPr>
          <w:p w14:paraId="45C09C9F" w14:textId="77777777" w:rsidR="00F16EF8" w:rsidRPr="00F16EF8" w:rsidRDefault="00F16EF8" w:rsidP="00F16EF8">
            <w:pPr>
              <w:spacing w:after="0" w:line="240" w:lineRule="auto"/>
              <w:jc w:val="center"/>
              <w:rPr>
                <w:rFonts w:eastAsia="Times New Roman" w:cs="Arial"/>
                <w:b/>
                <w:bCs/>
                <w:color w:val="000000"/>
                <w:sz w:val="16"/>
                <w:szCs w:val="16"/>
                <w:lang w:val="en-GB" w:eastAsia="en-GB"/>
              </w:rPr>
            </w:pPr>
            <w:r w:rsidRPr="00F16EF8">
              <w:rPr>
                <w:rFonts w:eastAsia="Times New Roman" w:cs="Arial"/>
                <w:b/>
                <w:bCs/>
                <w:color w:val="000000"/>
                <w:sz w:val="16"/>
                <w:szCs w:val="16"/>
                <w:lang w:val="en-GB" w:eastAsia="en-GB"/>
              </w:rPr>
              <w:t>Frequency [GHz]</w:t>
            </w:r>
          </w:p>
        </w:tc>
        <w:tc>
          <w:tcPr>
            <w:tcW w:w="690" w:type="dxa"/>
            <w:tcBorders>
              <w:top w:val="nil"/>
              <w:left w:val="single" w:sz="8" w:space="0" w:color="auto"/>
              <w:bottom w:val="single" w:sz="4" w:space="0" w:color="auto"/>
              <w:right w:val="single" w:sz="4" w:space="0" w:color="auto"/>
            </w:tcBorders>
            <w:shd w:val="clear" w:color="auto" w:fill="auto"/>
            <w:noWrap/>
            <w:vAlign w:val="center"/>
            <w:hideMark/>
          </w:tcPr>
          <w:p w14:paraId="09456C43"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2</w:t>
            </w:r>
          </w:p>
        </w:tc>
        <w:tc>
          <w:tcPr>
            <w:tcW w:w="690" w:type="dxa"/>
            <w:tcBorders>
              <w:top w:val="nil"/>
              <w:left w:val="nil"/>
              <w:bottom w:val="single" w:sz="4" w:space="0" w:color="auto"/>
              <w:right w:val="single" w:sz="4" w:space="0" w:color="auto"/>
            </w:tcBorders>
            <w:shd w:val="clear" w:color="auto" w:fill="auto"/>
            <w:noWrap/>
            <w:vAlign w:val="center"/>
            <w:hideMark/>
          </w:tcPr>
          <w:p w14:paraId="4756FA6A"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2</w:t>
            </w:r>
          </w:p>
        </w:tc>
        <w:tc>
          <w:tcPr>
            <w:tcW w:w="690" w:type="dxa"/>
            <w:tcBorders>
              <w:top w:val="nil"/>
              <w:left w:val="nil"/>
              <w:bottom w:val="single" w:sz="4" w:space="0" w:color="auto"/>
              <w:right w:val="single" w:sz="4" w:space="0" w:color="auto"/>
            </w:tcBorders>
            <w:shd w:val="clear" w:color="auto" w:fill="auto"/>
            <w:noWrap/>
            <w:vAlign w:val="center"/>
            <w:hideMark/>
          </w:tcPr>
          <w:p w14:paraId="6ED1978F"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2</w:t>
            </w:r>
          </w:p>
        </w:tc>
        <w:tc>
          <w:tcPr>
            <w:tcW w:w="690" w:type="dxa"/>
            <w:tcBorders>
              <w:top w:val="nil"/>
              <w:left w:val="nil"/>
              <w:bottom w:val="single" w:sz="4" w:space="0" w:color="auto"/>
              <w:right w:val="single" w:sz="4" w:space="0" w:color="auto"/>
            </w:tcBorders>
            <w:shd w:val="clear" w:color="auto" w:fill="auto"/>
            <w:noWrap/>
            <w:vAlign w:val="center"/>
            <w:hideMark/>
          </w:tcPr>
          <w:p w14:paraId="79B04E18"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2</w:t>
            </w:r>
          </w:p>
        </w:tc>
        <w:tc>
          <w:tcPr>
            <w:tcW w:w="690" w:type="dxa"/>
            <w:tcBorders>
              <w:top w:val="nil"/>
              <w:left w:val="nil"/>
              <w:bottom w:val="single" w:sz="4" w:space="0" w:color="auto"/>
              <w:right w:val="single" w:sz="4" w:space="0" w:color="auto"/>
            </w:tcBorders>
            <w:shd w:val="clear" w:color="auto" w:fill="auto"/>
            <w:noWrap/>
            <w:vAlign w:val="center"/>
            <w:hideMark/>
          </w:tcPr>
          <w:p w14:paraId="7BB0E660"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2</w:t>
            </w:r>
          </w:p>
        </w:tc>
        <w:tc>
          <w:tcPr>
            <w:tcW w:w="690" w:type="dxa"/>
            <w:tcBorders>
              <w:top w:val="nil"/>
              <w:left w:val="nil"/>
              <w:bottom w:val="single" w:sz="4" w:space="0" w:color="auto"/>
              <w:right w:val="nil"/>
            </w:tcBorders>
            <w:shd w:val="clear" w:color="auto" w:fill="auto"/>
            <w:noWrap/>
            <w:vAlign w:val="center"/>
            <w:hideMark/>
          </w:tcPr>
          <w:p w14:paraId="4C82F439"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2</w:t>
            </w:r>
          </w:p>
        </w:tc>
        <w:tc>
          <w:tcPr>
            <w:tcW w:w="700" w:type="dxa"/>
            <w:tcBorders>
              <w:top w:val="nil"/>
              <w:left w:val="single" w:sz="8" w:space="0" w:color="auto"/>
              <w:bottom w:val="single" w:sz="4" w:space="0" w:color="auto"/>
              <w:right w:val="single" w:sz="4" w:space="0" w:color="auto"/>
            </w:tcBorders>
            <w:shd w:val="clear" w:color="auto" w:fill="auto"/>
            <w:noWrap/>
            <w:vAlign w:val="center"/>
            <w:hideMark/>
          </w:tcPr>
          <w:p w14:paraId="56E01894"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2</w:t>
            </w:r>
          </w:p>
        </w:tc>
        <w:tc>
          <w:tcPr>
            <w:tcW w:w="700" w:type="dxa"/>
            <w:tcBorders>
              <w:top w:val="nil"/>
              <w:left w:val="nil"/>
              <w:bottom w:val="single" w:sz="4" w:space="0" w:color="auto"/>
              <w:right w:val="single" w:sz="4" w:space="0" w:color="auto"/>
            </w:tcBorders>
            <w:shd w:val="clear" w:color="auto" w:fill="auto"/>
            <w:noWrap/>
            <w:vAlign w:val="center"/>
            <w:hideMark/>
          </w:tcPr>
          <w:p w14:paraId="6E1BD8DA"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2</w:t>
            </w:r>
          </w:p>
        </w:tc>
        <w:tc>
          <w:tcPr>
            <w:tcW w:w="700" w:type="dxa"/>
            <w:tcBorders>
              <w:top w:val="nil"/>
              <w:left w:val="nil"/>
              <w:bottom w:val="single" w:sz="4" w:space="0" w:color="auto"/>
              <w:right w:val="single" w:sz="4" w:space="0" w:color="auto"/>
            </w:tcBorders>
            <w:shd w:val="clear" w:color="auto" w:fill="auto"/>
            <w:noWrap/>
            <w:vAlign w:val="center"/>
            <w:hideMark/>
          </w:tcPr>
          <w:p w14:paraId="3D5B2366"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2</w:t>
            </w:r>
          </w:p>
        </w:tc>
        <w:tc>
          <w:tcPr>
            <w:tcW w:w="700" w:type="dxa"/>
            <w:tcBorders>
              <w:top w:val="nil"/>
              <w:left w:val="nil"/>
              <w:bottom w:val="single" w:sz="4" w:space="0" w:color="auto"/>
              <w:right w:val="single" w:sz="4" w:space="0" w:color="auto"/>
            </w:tcBorders>
            <w:shd w:val="clear" w:color="auto" w:fill="auto"/>
            <w:noWrap/>
            <w:vAlign w:val="center"/>
            <w:hideMark/>
          </w:tcPr>
          <w:p w14:paraId="6C69D1CD"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2</w:t>
            </w:r>
          </w:p>
        </w:tc>
        <w:tc>
          <w:tcPr>
            <w:tcW w:w="700" w:type="dxa"/>
            <w:tcBorders>
              <w:top w:val="nil"/>
              <w:left w:val="nil"/>
              <w:bottom w:val="single" w:sz="4" w:space="0" w:color="auto"/>
              <w:right w:val="single" w:sz="4" w:space="0" w:color="auto"/>
            </w:tcBorders>
            <w:shd w:val="clear" w:color="auto" w:fill="auto"/>
            <w:noWrap/>
            <w:vAlign w:val="center"/>
            <w:hideMark/>
          </w:tcPr>
          <w:p w14:paraId="32A285D5"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2</w:t>
            </w:r>
          </w:p>
        </w:tc>
        <w:tc>
          <w:tcPr>
            <w:tcW w:w="700" w:type="dxa"/>
            <w:tcBorders>
              <w:top w:val="nil"/>
              <w:left w:val="nil"/>
              <w:bottom w:val="single" w:sz="4" w:space="0" w:color="auto"/>
              <w:right w:val="single" w:sz="8" w:space="0" w:color="auto"/>
            </w:tcBorders>
            <w:shd w:val="clear" w:color="auto" w:fill="auto"/>
            <w:noWrap/>
            <w:vAlign w:val="center"/>
            <w:hideMark/>
          </w:tcPr>
          <w:p w14:paraId="1FF506A3"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2</w:t>
            </w:r>
          </w:p>
        </w:tc>
      </w:tr>
      <w:tr w:rsidR="00F16EF8" w:rsidRPr="00F16EF8" w14:paraId="4CE336B7" w14:textId="77777777" w:rsidTr="00081152">
        <w:trPr>
          <w:trHeight w:val="255"/>
          <w:jc w:val="center"/>
        </w:trPr>
        <w:tc>
          <w:tcPr>
            <w:tcW w:w="2110" w:type="dxa"/>
            <w:tcBorders>
              <w:top w:val="nil"/>
              <w:left w:val="single" w:sz="8" w:space="0" w:color="auto"/>
              <w:bottom w:val="single" w:sz="4" w:space="0" w:color="auto"/>
              <w:right w:val="nil"/>
            </w:tcBorders>
            <w:shd w:val="clear" w:color="auto" w:fill="auto"/>
            <w:noWrap/>
            <w:vAlign w:val="center"/>
            <w:hideMark/>
          </w:tcPr>
          <w:p w14:paraId="713C4D95" w14:textId="77777777" w:rsidR="00F16EF8" w:rsidRPr="00F16EF8" w:rsidRDefault="00F16EF8" w:rsidP="00F16EF8">
            <w:pPr>
              <w:spacing w:after="0" w:line="240" w:lineRule="auto"/>
              <w:jc w:val="center"/>
              <w:rPr>
                <w:rFonts w:eastAsia="Times New Roman" w:cs="Arial"/>
                <w:b/>
                <w:bCs/>
                <w:color w:val="000000"/>
                <w:sz w:val="16"/>
                <w:szCs w:val="16"/>
                <w:lang w:val="en-GB" w:eastAsia="en-GB"/>
              </w:rPr>
            </w:pPr>
            <w:r w:rsidRPr="00F16EF8">
              <w:rPr>
                <w:rFonts w:eastAsia="Times New Roman" w:cs="Arial"/>
                <w:b/>
                <w:bCs/>
                <w:color w:val="000000"/>
                <w:sz w:val="16"/>
                <w:szCs w:val="16"/>
                <w:lang w:val="en-GB" w:eastAsia="en-GB"/>
              </w:rPr>
              <w:t>TX: EIRP [dBW/MHz]</w:t>
            </w:r>
          </w:p>
        </w:tc>
        <w:tc>
          <w:tcPr>
            <w:tcW w:w="690" w:type="dxa"/>
            <w:tcBorders>
              <w:top w:val="nil"/>
              <w:left w:val="single" w:sz="8" w:space="0" w:color="auto"/>
              <w:bottom w:val="single" w:sz="4" w:space="0" w:color="auto"/>
              <w:right w:val="single" w:sz="4" w:space="0" w:color="auto"/>
            </w:tcBorders>
            <w:shd w:val="clear" w:color="auto" w:fill="auto"/>
            <w:noWrap/>
            <w:vAlign w:val="center"/>
            <w:hideMark/>
          </w:tcPr>
          <w:p w14:paraId="31794085"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59</w:t>
            </w:r>
          </w:p>
        </w:tc>
        <w:tc>
          <w:tcPr>
            <w:tcW w:w="690" w:type="dxa"/>
            <w:tcBorders>
              <w:top w:val="nil"/>
              <w:left w:val="nil"/>
              <w:bottom w:val="single" w:sz="4" w:space="0" w:color="auto"/>
              <w:right w:val="single" w:sz="4" w:space="0" w:color="auto"/>
            </w:tcBorders>
            <w:shd w:val="clear" w:color="auto" w:fill="auto"/>
            <w:noWrap/>
            <w:vAlign w:val="center"/>
            <w:hideMark/>
          </w:tcPr>
          <w:p w14:paraId="13ACFDAB"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 </w:t>
            </w:r>
          </w:p>
        </w:tc>
        <w:tc>
          <w:tcPr>
            <w:tcW w:w="690" w:type="dxa"/>
            <w:tcBorders>
              <w:top w:val="nil"/>
              <w:left w:val="nil"/>
              <w:bottom w:val="single" w:sz="4" w:space="0" w:color="auto"/>
              <w:right w:val="single" w:sz="4" w:space="0" w:color="auto"/>
            </w:tcBorders>
            <w:shd w:val="clear" w:color="auto" w:fill="auto"/>
            <w:noWrap/>
            <w:vAlign w:val="center"/>
            <w:hideMark/>
          </w:tcPr>
          <w:p w14:paraId="6E8C4A4E"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40</w:t>
            </w:r>
          </w:p>
        </w:tc>
        <w:tc>
          <w:tcPr>
            <w:tcW w:w="690" w:type="dxa"/>
            <w:tcBorders>
              <w:top w:val="nil"/>
              <w:left w:val="nil"/>
              <w:bottom w:val="single" w:sz="4" w:space="0" w:color="auto"/>
              <w:right w:val="single" w:sz="4" w:space="0" w:color="auto"/>
            </w:tcBorders>
            <w:shd w:val="clear" w:color="auto" w:fill="auto"/>
            <w:noWrap/>
            <w:vAlign w:val="center"/>
            <w:hideMark/>
          </w:tcPr>
          <w:p w14:paraId="170B9397"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 </w:t>
            </w:r>
          </w:p>
        </w:tc>
        <w:tc>
          <w:tcPr>
            <w:tcW w:w="690" w:type="dxa"/>
            <w:tcBorders>
              <w:top w:val="nil"/>
              <w:left w:val="nil"/>
              <w:bottom w:val="single" w:sz="4" w:space="0" w:color="auto"/>
              <w:right w:val="single" w:sz="4" w:space="0" w:color="auto"/>
            </w:tcBorders>
            <w:shd w:val="clear" w:color="auto" w:fill="auto"/>
            <w:noWrap/>
            <w:vAlign w:val="center"/>
            <w:hideMark/>
          </w:tcPr>
          <w:p w14:paraId="3229C812"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34</w:t>
            </w:r>
          </w:p>
        </w:tc>
        <w:tc>
          <w:tcPr>
            <w:tcW w:w="690" w:type="dxa"/>
            <w:tcBorders>
              <w:top w:val="nil"/>
              <w:left w:val="nil"/>
              <w:bottom w:val="single" w:sz="4" w:space="0" w:color="auto"/>
              <w:right w:val="nil"/>
            </w:tcBorders>
            <w:shd w:val="clear" w:color="auto" w:fill="auto"/>
            <w:noWrap/>
            <w:vAlign w:val="center"/>
            <w:hideMark/>
          </w:tcPr>
          <w:p w14:paraId="07ED2792"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 </w:t>
            </w:r>
          </w:p>
        </w:tc>
        <w:tc>
          <w:tcPr>
            <w:tcW w:w="700" w:type="dxa"/>
            <w:tcBorders>
              <w:top w:val="nil"/>
              <w:left w:val="single" w:sz="8" w:space="0" w:color="auto"/>
              <w:bottom w:val="single" w:sz="4" w:space="0" w:color="auto"/>
              <w:right w:val="single" w:sz="4" w:space="0" w:color="auto"/>
            </w:tcBorders>
            <w:shd w:val="clear" w:color="auto" w:fill="auto"/>
            <w:noWrap/>
            <w:vAlign w:val="center"/>
            <w:hideMark/>
          </w:tcPr>
          <w:p w14:paraId="3013B507"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53.5</w:t>
            </w:r>
          </w:p>
        </w:tc>
        <w:tc>
          <w:tcPr>
            <w:tcW w:w="700" w:type="dxa"/>
            <w:tcBorders>
              <w:top w:val="nil"/>
              <w:left w:val="nil"/>
              <w:bottom w:val="single" w:sz="4" w:space="0" w:color="auto"/>
              <w:right w:val="single" w:sz="4" w:space="0" w:color="auto"/>
            </w:tcBorders>
            <w:shd w:val="clear" w:color="auto" w:fill="auto"/>
            <w:noWrap/>
            <w:vAlign w:val="center"/>
            <w:hideMark/>
          </w:tcPr>
          <w:p w14:paraId="7F148EBA"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 </w:t>
            </w:r>
          </w:p>
        </w:tc>
        <w:tc>
          <w:tcPr>
            <w:tcW w:w="700" w:type="dxa"/>
            <w:tcBorders>
              <w:top w:val="nil"/>
              <w:left w:val="nil"/>
              <w:bottom w:val="single" w:sz="4" w:space="0" w:color="auto"/>
              <w:right w:val="single" w:sz="4" w:space="0" w:color="auto"/>
            </w:tcBorders>
            <w:shd w:val="clear" w:color="auto" w:fill="auto"/>
            <w:noWrap/>
            <w:vAlign w:val="center"/>
            <w:hideMark/>
          </w:tcPr>
          <w:p w14:paraId="52B476D2"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34</w:t>
            </w:r>
          </w:p>
        </w:tc>
        <w:tc>
          <w:tcPr>
            <w:tcW w:w="700" w:type="dxa"/>
            <w:tcBorders>
              <w:top w:val="nil"/>
              <w:left w:val="nil"/>
              <w:bottom w:val="single" w:sz="4" w:space="0" w:color="auto"/>
              <w:right w:val="single" w:sz="4" w:space="0" w:color="auto"/>
            </w:tcBorders>
            <w:shd w:val="clear" w:color="auto" w:fill="auto"/>
            <w:noWrap/>
            <w:vAlign w:val="center"/>
            <w:hideMark/>
          </w:tcPr>
          <w:p w14:paraId="703F3CDD"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 </w:t>
            </w:r>
          </w:p>
        </w:tc>
        <w:tc>
          <w:tcPr>
            <w:tcW w:w="700" w:type="dxa"/>
            <w:tcBorders>
              <w:top w:val="nil"/>
              <w:left w:val="nil"/>
              <w:bottom w:val="single" w:sz="4" w:space="0" w:color="auto"/>
              <w:right w:val="single" w:sz="4" w:space="0" w:color="auto"/>
            </w:tcBorders>
            <w:shd w:val="clear" w:color="auto" w:fill="auto"/>
            <w:noWrap/>
            <w:vAlign w:val="center"/>
            <w:hideMark/>
          </w:tcPr>
          <w:p w14:paraId="450EDDAD"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28</w:t>
            </w:r>
          </w:p>
        </w:tc>
        <w:tc>
          <w:tcPr>
            <w:tcW w:w="700" w:type="dxa"/>
            <w:tcBorders>
              <w:top w:val="nil"/>
              <w:left w:val="nil"/>
              <w:bottom w:val="single" w:sz="4" w:space="0" w:color="auto"/>
              <w:right w:val="single" w:sz="8" w:space="0" w:color="auto"/>
            </w:tcBorders>
            <w:shd w:val="clear" w:color="auto" w:fill="auto"/>
            <w:noWrap/>
            <w:vAlign w:val="center"/>
            <w:hideMark/>
          </w:tcPr>
          <w:p w14:paraId="665B0532"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 </w:t>
            </w:r>
          </w:p>
        </w:tc>
      </w:tr>
      <w:tr w:rsidR="00F16EF8" w:rsidRPr="00F16EF8" w14:paraId="1BA7B185" w14:textId="77777777" w:rsidTr="00081152">
        <w:trPr>
          <w:trHeight w:val="255"/>
          <w:jc w:val="center"/>
        </w:trPr>
        <w:tc>
          <w:tcPr>
            <w:tcW w:w="2110" w:type="dxa"/>
            <w:tcBorders>
              <w:top w:val="nil"/>
              <w:left w:val="single" w:sz="8" w:space="0" w:color="auto"/>
              <w:bottom w:val="single" w:sz="4" w:space="0" w:color="auto"/>
              <w:right w:val="nil"/>
            </w:tcBorders>
            <w:shd w:val="clear" w:color="auto" w:fill="auto"/>
            <w:noWrap/>
            <w:vAlign w:val="center"/>
            <w:hideMark/>
          </w:tcPr>
          <w:p w14:paraId="43B6E55E" w14:textId="77777777" w:rsidR="00F16EF8" w:rsidRPr="00F16EF8" w:rsidRDefault="00F16EF8" w:rsidP="00F16EF8">
            <w:pPr>
              <w:spacing w:after="0" w:line="240" w:lineRule="auto"/>
              <w:jc w:val="center"/>
              <w:rPr>
                <w:rFonts w:eastAsia="Times New Roman" w:cs="Arial"/>
                <w:b/>
                <w:bCs/>
                <w:color w:val="000000"/>
                <w:sz w:val="16"/>
                <w:szCs w:val="16"/>
                <w:lang w:val="en-GB" w:eastAsia="en-GB"/>
              </w:rPr>
            </w:pPr>
            <w:r w:rsidRPr="00F16EF8">
              <w:rPr>
                <w:rFonts w:eastAsia="Times New Roman" w:cs="Arial"/>
                <w:b/>
                <w:bCs/>
                <w:color w:val="000000"/>
                <w:sz w:val="16"/>
                <w:szCs w:val="16"/>
                <w:lang w:val="en-GB" w:eastAsia="en-GB"/>
              </w:rPr>
              <w:t>TX: EIRP [dBm]</w:t>
            </w:r>
          </w:p>
        </w:tc>
        <w:tc>
          <w:tcPr>
            <w:tcW w:w="690" w:type="dxa"/>
            <w:tcBorders>
              <w:top w:val="nil"/>
              <w:left w:val="single" w:sz="8" w:space="0" w:color="auto"/>
              <w:bottom w:val="single" w:sz="4" w:space="0" w:color="auto"/>
              <w:right w:val="single" w:sz="4" w:space="0" w:color="auto"/>
            </w:tcBorders>
            <w:shd w:val="clear" w:color="auto" w:fill="auto"/>
            <w:noWrap/>
            <w:vAlign w:val="center"/>
            <w:hideMark/>
          </w:tcPr>
          <w:p w14:paraId="5A8A2DA6"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89.3</w:t>
            </w:r>
          </w:p>
        </w:tc>
        <w:tc>
          <w:tcPr>
            <w:tcW w:w="690" w:type="dxa"/>
            <w:tcBorders>
              <w:top w:val="nil"/>
              <w:left w:val="nil"/>
              <w:bottom w:val="single" w:sz="4" w:space="0" w:color="auto"/>
              <w:right w:val="single" w:sz="4" w:space="0" w:color="auto"/>
            </w:tcBorders>
            <w:shd w:val="clear" w:color="auto" w:fill="auto"/>
            <w:noWrap/>
            <w:vAlign w:val="center"/>
            <w:hideMark/>
          </w:tcPr>
          <w:p w14:paraId="020625BB"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23.0</w:t>
            </w:r>
          </w:p>
        </w:tc>
        <w:tc>
          <w:tcPr>
            <w:tcW w:w="690" w:type="dxa"/>
            <w:tcBorders>
              <w:top w:val="nil"/>
              <w:left w:val="nil"/>
              <w:bottom w:val="single" w:sz="4" w:space="0" w:color="auto"/>
              <w:right w:val="single" w:sz="4" w:space="0" w:color="auto"/>
            </w:tcBorders>
            <w:shd w:val="clear" w:color="auto" w:fill="auto"/>
            <w:noWrap/>
            <w:vAlign w:val="center"/>
            <w:hideMark/>
          </w:tcPr>
          <w:p w14:paraId="40E2240A"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70.3</w:t>
            </w:r>
          </w:p>
        </w:tc>
        <w:tc>
          <w:tcPr>
            <w:tcW w:w="690" w:type="dxa"/>
            <w:tcBorders>
              <w:top w:val="nil"/>
              <w:left w:val="nil"/>
              <w:bottom w:val="single" w:sz="4" w:space="0" w:color="auto"/>
              <w:right w:val="single" w:sz="4" w:space="0" w:color="auto"/>
            </w:tcBorders>
            <w:shd w:val="clear" w:color="auto" w:fill="auto"/>
            <w:noWrap/>
            <w:vAlign w:val="center"/>
            <w:hideMark/>
          </w:tcPr>
          <w:p w14:paraId="3E8D7AD0"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23.0</w:t>
            </w:r>
          </w:p>
        </w:tc>
        <w:tc>
          <w:tcPr>
            <w:tcW w:w="690" w:type="dxa"/>
            <w:tcBorders>
              <w:top w:val="nil"/>
              <w:left w:val="nil"/>
              <w:bottom w:val="single" w:sz="4" w:space="0" w:color="auto"/>
              <w:right w:val="single" w:sz="4" w:space="0" w:color="auto"/>
            </w:tcBorders>
            <w:shd w:val="clear" w:color="auto" w:fill="auto"/>
            <w:noWrap/>
            <w:vAlign w:val="center"/>
            <w:hideMark/>
          </w:tcPr>
          <w:p w14:paraId="54AD4C9C"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64.3</w:t>
            </w:r>
          </w:p>
        </w:tc>
        <w:tc>
          <w:tcPr>
            <w:tcW w:w="690" w:type="dxa"/>
            <w:tcBorders>
              <w:top w:val="nil"/>
              <w:left w:val="nil"/>
              <w:bottom w:val="single" w:sz="4" w:space="0" w:color="auto"/>
              <w:right w:val="single" w:sz="4" w:space="0" w:color="auto"/>
            </w:tcBorders>
            <w:shd w:val="clear" w:color="auto" w:fill="auto"/>
            <w:noWrap/>
            <w:vAlign w:val="center"/>
            <w:hideMark/>
          </w:tcPr>
          <w:p w14:paraId="1760EEB7"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23.0</w:t>
            </w:r>
          </w:p>
        </w:tc>
        <w:tc>
          <w:tcPr>
            <w:tcW w:w="700" w:type="dxa"/>
            <w:tcBorders>
              <w:top w:val="nil"/>
              <w:left w:val="single" w:sz="8" w:space="0" w:color="auto"/>
              <w:bottom w:val="single" w:sz="4" w:space="0" w:color="auto"/>
              <w:right w:val="single" w:sz="4" w:space="0" w:color="auto"/>
            </w:tcBorders>
            <w:shd w:val="clear" w:color="auto" w:fill="auto"/>
            <w:noWrap/>
            <w:vAlign w:val="center"/>
            <w:hideMark/>
          </w:tcPr>
          <w:p w14:paraId="7CB2A77C"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83.8</w:t>
            </w:r>
          </w:p>
        </w:tc>
        <w:tc>
          <w:tcPr>
            <w:tcW w:w="700" w:type="dxa"/>
            <w:tcBorders>
              <w:top w:val="nil"/>
              <w:left w:val="nil"/>
              <w:bottom w:val="single" w:sz="4" w:space="0" w:color="auto"/>
              <w:right w:val="single" w:sz="4" w:space="0" w:color="auto"/>
            </w:tcBorders>
            <w:shd w:val="clear" w:color="auto" w:fill="auto"/>
            <w:noWrap/>
            <w:vAlign w:val="center"/>
            <w:hideMark/>
          </w:tcPr>
          <w:p w14:paraId="6CD04B69"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23.0</w:t>
            </w:r>
          </w:p>
        </w:tc>
        <w:tc>
          <w:tcPr>
            <w:tcW w:w="700" w:type="dxa"/>
            <w:tcBorders>
              <w:top w:val="nil"/>
              <w:left w:val="nil"/>
              <w:bottom w:val="single" w:sz="4" w:space="0" w:color="auto"/>
              <w:right w:val="single" w:sz="4" w:space="0" w:color="auto"/>
            </w:tcBorders>
            <w:shd w:val="clear" w:color="auto" w:fill="auto"/>
            <w:noWrap/>
            <w:vAlign w:val="center"/>
            <w:hideMark/>
          </w:tcPr>
          <w:p w14:paraId="0DE9F5A8"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64.3</w:t>
            </w:r>
          </w:p>
        </w:tc>
        <w:tc>
          <w:tcPr>
            <w:tcW w:w="700" w:type="dxa"/>
            <w:tcBorders>
              <w:top w:val="nil"/>
              <w:left w:val="nil"/>
              <w:bottom w:val="single" w:sz="4" w:space="0" w:color="auto"/>
              <w:right w:val="single" w:sz="4" w:space="0" w:color="auto"/>
            </w:tcBorders>
            <w:shd w:val="clear" w:color="auto" w:fill="auto"/>
            <w:noWrap/>
            <w:vAlign w:val="center"/>
            <w:hideMark/>
          </w:tcPr>
          <w:p w14:paraId="6381E0E8"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23.0</w:t>
            </w:r>
          </w:p>
        </w:tc>
        <w:tc>
          <w:tcPr>
            <w:tcW w:w="700" w:type="dxa"/>
            <w:tcBorders>
              <w:top w:val="nil"/>
              <w:left w:val="nil"/>
              <w:bottom w:val="single" w:sz="4" w:space="0" w:color="auto"/>
              <w:right w:val="single" w:sz="4" w:space="0" w:color="auto"/>
            </w:tcBorders>
            <w:shd w:val="clear" w:color="auto" w:fill="auto"/>
            <w:noWrap/>
            <w:vAlign w:val="center"/>
            <w:hideMark/>
          </w:tcPr>
          <w:p w14:paraId="089E0AF0"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58.3</w:t>
            </w:r>
          </w:p>
        </w:tc>
        <w:tc>
          <w:tcPr>
            <w:tcW w:w="700" w:type="dxa"/>
            <w:tcBorders>
              <w:top w:val="nil"/>
              <w:left w:val="nil"/>
              <w:bottom w:val="single" w:sz="4" w:space="0" w:color="auto"/>
              <w:right w:val="single" w:sz="4" w:space="0" w:color="auto"/>
            </w:tcBorders>
            <w:shd w:val="clear" w:color="auto" w:fill="auto"/>
            <w:noWrap/>
            <w:vAlign w:val="center"/>
            <w:hideMark/>
          </w:tcPr>
          <w:p w14:paraId="321646D2"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23.0</w:t>
            </w:r>
          </w:p>
        </w:tc>
      </w:tr>
      <w:tr w:rsidR="00F16EF8" w:rsidRPr="00F16EF8" w14:paraId="317B0F8F" w14:textId="77777777" w:rsidTr="00081152">
        <w:trPr>
          <w:trHeight w:val="270"/>
          <w:jc w:val="center"/>
        </w:trPr>
        <w:tc>
          <w:tcPr>
            <w:tcW w:w="2110" w:type="dxa"/>
            <w:tcBorders>
              <w:top w:val="nil"/>
              <w:left w:val="single" w:sz="8" w:space="0" w:color="auto"/>
              <w:bottom w:val="single" w:sz="4" w:space="0" w:color="auto"/>
              <w:right w:val="nil"/>
            </w:tcBorders>
            <w:shd w:val="clear" w:color="auto" w:fill="auto"/>
            <w:noWrap/>
            <w:vAlign w:val="center"/>
            <w:hideMark/>
          </w:tcPr>
          <w:p w14:paraId="0B51FCE2" w14:textId="77777777" w:rsidR="00F16EF8" w:rsidRPr="00F16EF8" w:rsidRDefault="00F16EF8" w:rsidP="00F16EF8">
            <w:pPr>
              <w:spacing w:after="0" w:line="240" w:lineRule="auto"/>
              <w:jc w:val="center"/>
              <w:rPr>
                <w:rFonts w:eastAsia="Times New Roman" w:cs="Arial"/>
                <w:b/>
                <w:bCs/>
                <w:color w:val="000000"/>
                <w:sz w:val="16"/>
                <w:szCs w:val="16"/>
                <w:lang w:val="en-GB" w:eastAsia="en-GB"/>
              </w:rPr>
            </w:pPr>
            <w:r w:rsidRPr="00F16EF8">
              <w:rPr>
                <w:rFonts w:eastAsia="Times New Roman" w:cs="Arial"/>
                <w:b/>
                <w:bCs/>
                <w:color w:val="000000"/>
                <w:sz w:val="16"/>
                <w:szCs w:val="16"/>
                <w:lang w:val="en-GB" w:eastAsia="en-GB"/>
              </w:rPr>
              <w:t>RX: G/T [dB/T]</w:t>
            </w:r>
          </w:p>
        </w:tc>
        <w:tc>
          <w:tcPr>
            <w:tcW w:w="690" w:type="dxa"/>
            <w:tcBorders>
              <w:top w:val="nil"/>
              <w:left w:val="single" w:sz="8" w:space="0" w:color="auto"/>
              <w:bottom w:val="single" w:sz="4" w:space="0" w:color="auto"/>
              <w:right w:val="single" w:sz="4" w:space="0" w:color="auto"/>
            </w:tcBorders>
            <w:shd w:val="clear" w:color="auto" w:fill="auto"/>
            <w:noWrap/>
            <w:vAlign w:val="center"/>
            <w:hideMark/>
          </w:tcPr>
          <w:p w14:paraId="635F1B1A"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-31.6</w:t>
            </w:r>
          </w:p>
        </w:tc>
        <w:tc>
          <w:tcPr>
            <w:tcW w:w="690" w:type="dxa"/>
            <w:tcBorders>
              <w:top w:val="nil"/>
              <w:left w:val="nil"/>
              <w:bottom w:val="single" w:sz="4" w:space="0" w:color="auto"/>
              <w:right w:val="single" w:sz="4" w:space="0" w:color="auto"/>
            </w:tcBorders>
            <w:shd w:val="clear" w:color="auto" w:fill="auto"/>
            <w:noWrap/>
            <w:vAlign w:val="center"/>
            <w:hideMark/>
          </w:tcPr>
          <w:p w14:paraId="529FACB4"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19</w:t>
            </w:r>
          </w:p>
        </w:tc>
        <w:tc>
          <w:tcPr>
            <w:tcW w:w="690" w:type="dxa"/>
            <w:tcBorders>
              <w:top w:val="nil"/>
              <w:left w:val="nil"/>
              <w:bottom w:val="single" w:sz="4" w:space="0" w:color="auto"/>
              <w:right w:val="single" w:sz="4" w:space="0" w:color="auto"/>
            </w:tcBorders>
            <w:shd w:val="clear" w:color="auto" w:fill="auto"/>
            <w:noWrap/>
            <w:vAlign w:val="center"/>
            <w:hideMark/>
          </w:tcPr>
          <w:p w14:paraId="52B163AF"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-31.6</w:t>
            </w:r>
          </w:p>
        </w:tc>
        <w:tc>
          <w:tcPr>
            <w:tcW w:w="690" w:type="dxa"/>
            <w:tcBorders>
              <w:top w:val="nil"/>
              <w:left w:val="nil"/>
              <w:bottom w:val="single" w:sz="4" w:space="0" w:color="auto"/>
              <w:right w:val="single" w:sz="4" w:space="0" w:color="auto"/>
            </w:tcBorders>
            <w:shd w:val="clear" w:color="auto" w:fill="auto"/>
            <w:noWrap/>
            <w:vAlign w:val="center"/>
            <w:hideMark/>
          </w:tcPr>
          <w:p w14:paraId="7A4A18CC"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1.1</w:t>
            </w:r>
          </w:p>
        </w:tc>
        <w:tc>
          <w:tcPr>
            <w:tcW w:w="690" w:type="dxa"/>
            <w:tcBorders>
              <w:top w:val="nil"/>
              <w:left w:val="nil"/>
              <w:bottom w:val="single" w:sz="4" w:space="0" w:color="auto"/>
              <w:right w:val="single" w:sz="4" w:space="0" w:color="auto"/>
            </w:tcBorders>
            <w:shd w:val="clear" w:color="auto" w:fill="auto"/>
            <w:noWrap/>
            <w:vAlign w:val="center"/>
            <w:hideMark/>
          </w:tcPr>
          <w:p w14:paraId="07A63D5A"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-31.6</w:t>
            </w:r>
          </w:p>
        </w:tc>
        <w:tc>
          <w:tcPr>
            <w:tcW w:w="690" w:type="dxa"/>
            <w:tcBorders>
              <w:top w:val="nil"/>
              <w:left w:val="nil"/>
              <w:bottom w:val="single" w:sz="4" w:space="0" w:color="auto"/>
              <w:right w:val="nil"/>
            </w:tcBorders>
            <w:shd w:val="clear" w:color="auto" w:fill="auto"/>
            <w:noWrap/>
            <w:vAlign w:val="center"/>
            <w:hideMark/>
          </w:tcPr>
          <w:p w14:paraId="0F8C6743"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1.1</w:t>
            </w:r>
          </w:p>
        </w:tc>
        <w:tc>
          <w:tcPr>
            <w:tcW w:w="700" w:type="dxa"/>
            <w:tcBorders>
              <w:top w:val="nil"/>
              <w:left w:val="single" w:sz="8" w:space="0" w:color="auto"/>
              <w:bottom w:val="single" w:sz="4" w:space="0" w:color="auto"/>
              <w:right w:val="single" w:sz="4" w:space="0" w:color="auto"/>
            </w:tcBorders>
            <w:shd w:val="clear" w:color="auto" w:fill="auto"/>
            <w:noWrap/>
            <w:vAlign w:val="center"/>
            <w:hideMark/>
          </w:tcPr>
          <w:p w14:paraId="18622658"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-31.6</w:t>
            </w:r>
          </w:p>
        </w:tc>
        <w:tc>
          <w:tcPr>
            <w:tcW w:w="700" w:type="dxa"/>
            <w:tcBorders>
              <w:top w:val="nil"/>
              <w:left w:val="nil"/>
              <w:bottom w:val="single" w:sz="4" w:space="0" w:color="auto"/>
              <w:right w:val="single" w:sz="4" w:space="0" w:color="auto"/>
            </w:tcBorders>
            <w:shd w:val="clear" w:color="auto" w:fill="auto"/>
            <w:noWrap/>
            <w:vAlign w:val="center"/>
            <w:hideMark/>
          </w:tcPr>
          <w:p w14:paraId="0865CFDE"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14</w:t>
            </w:r>
          </w:p>
        </w:tc>
        <w:tc>
          <w:tcPr>
            <w:tcW w:w="700" w:type="dxa"/>
            <w:tcBorders>
              <w:top w:val="nil"/>
              <w:left w:val="nil"/>
              <w:bottom w:val="single" w:sz="4" w:space="0" w:color="auto"/>
              <w:right w:val="single" w:sz="4" w:space="0" w:color="auto"/>
            </w:tcBorders>
            <w:shd w:val="clear" w:color="auto" w:fill="auto"/>
            <w:noWrap/>
            <w:vAlign w:val="center"/>
            <w:hideMark/>
          </w:tcPr>
          <w:p w14:paraId="44E43F94"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-31.6</w:t>
            </w:r>
          </w:p>
        </w:tc>
        <w:tc>
          <w:tcPr>
            <w:tcW w:w="700" w:type="dxa"/>
            <w:tcBorders>
              <w:top w:val="nil"/>
              <w:left w:val="nil"/>
              <w:bottom w:val="single" w:sz="4" w:space="0" w:color="auto"/>
              <w:right w:val="single" w:sz="4" w:space="0" w:color="auto"/>
            </w:tcBorders>
            <w:shd w:val="clear" w:color="auto" w:fill="auto"/>
            <w:noWrap/>
            <w:vAlign w:val="center"/>
            <w:hideMark/>
          </w:tcPr>
          <w:p w14:paraId="0367F8FF"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-4.9</w:t>
            </w:r>
          </w:p>
        </w:tc>
        <w:tc>
          <w:tcPr>
            <w:tcW w:w="700" w:type="dxa"/>
            <w:tcBorders>
              <w:top w:val="nil"/>
              <w:left w:val="nil"/>
              <w:bottom w:val="single" w:sz="4" w:space="0" w:color="auto"/>
              <w:right w:val="single" w:sz="4" w:space="0" w:color="auto"/>
            </w:tcBorders>
            <w:shd w:val="clear" w:color="auto" w:fill="auto"/>
            <w:noWrap/>
            <w:vAlign w:val="center"/>
            <w:hideMark/>
          </w:tcPr>
          <w:p w14:paraId="46C7F526"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-31.6</w:t>
            </w:r>
          </w:p>
        </w:tc>
        <w:tc>
          <w:tcPr>
            <w:tcW w:w="700" w:type="dxa"/>
            <w:tcBorders>
              <w:top w:val="nil"/>
              <w:left w:val="nil"/>
              <w:bottom w:val="single" w:sz="4" w:space="0" w:color="auto"/>
              <w:right w:val="single" w:sz="4" w:space="0" w:color="auto"/>
            </w:tcBorders>
            <w:shd w:val="clear" w:color="auto" w:fill="auto"/>
            <w:noWrap/>
            <w:vAlign w:val="center"/>
            <w:hideMark/>
          </w:tcPr>
          <w:p w14:paraId="00149A96"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-4.9</w:t>
            </w:r>
          </w:p>
        </w:tc>
      </w:tr>
      <w:tr w:rsidR="00F16EF8" w:rsidRPr="00F16EF8" w14:paraId="471E9F50" w14:textId="77777777" w:rsidTr="00081152">
        <w:trPr>
          <w:trHeight w:val="270"/>
          <w:jc w:val="center"/>
        </w:trPr>
        <w:tc>
          <w:tcPr>
            <w:tcW w:w="2110" w:type="dxa"/>
            <w:tcBorders>
              <w:top w:val="nil"/>
              <w:left w:val="single" w:sz="8" w:space="0" w:color="auto"/>
              <w:bottom w:val="single" w:sz="4" w:space="0" w:color="auto"/>
              <w:right w:val="nil"/>
            </w:tcBorders>
            <w:shd w:val="clear" w:color="auto" w:fill="auto"/>
            <w:noWrap/>
            <w:vAlign w:val="center"/>
            <w:hideMark/>
          </w:tcPr>
          <w:p w14:paraId="5910BB17" w14:textId="77777777" w:rsidR="00F16EF8" w:rsidRPr="00F16EF8" w:rsidRDefault="00F16EF8" w:rsidP="00F16EF8">
            <w:pPr>
              <w:spacing w:after="0" w:line="240" w:lineRule="auto"/>
              <w:jc w:val="center"/>
              <w:rPr>
                <w:rFonts w:eastAsia="Times New Roman" w:cs="Arial"/>
                <w:b/>
                <w:bCs/>
                <w:color w:val="000000"/>
                <w:sz w:val="16"/>
                <w:szCs w:val="16"/>
                <w:lang w:val="en-GB" w:eastAsia="en-GB"/>
              </w:rPr>
            </w:pPr>
            <w:r w:rsidRPr="00F16EF8">
              <w:rPr>
                <w:rFonts w:eastAsia="Times New Roman" w:cs="Arial"/>
                <w:b/>
                <w:bCs/>
                <w:color w:val="000000"/>
                <w:sz w:val="16"/>
                <w:szCs w:val="16"/>
                <w:lang w:val="en-GB" w:eastAsia="en-GB"/>
              </w:rPr>
              <w:t>Occupied Bandwidth [MHz]</w:t>
            </w:r>
          </w:p>
        </w:tc>
        <w:tc>
          <w:tcPr>
            <w:tcW w:w="690" w:type="dxa"/>
            <w:tcBorders>
              <w:top w:val="nil"/>
              <w:left w:val="single" w:sz="8" w:space="0" w:color="auto"/>
              <w:bottom w:val="single" w:sz="4" w:space="0" w:color="auto"/>
              <w:right w:val="single" w:sz="4" w:space="0" w:color="auto"/>
            </w:tcBorders>
            <w:shd w:val="clear" w:color="auto" w:fill="auto"/>
            <w:noWrap/>
            <w:vAlign w:val="center"/>
            <w:hideMark/>
          </w:tcPr>
          <w:p w14:paraId="71E6362C" w14:textId="77777777" w:rsidR="00F16EF8" w:rsidRPr="00F16EF8" w:rsidRDefault="00F16EF8" w:rsidP="00F16EF8">
            <w:pPr>
              <w:spacing w:after="0" w:line="240" w:lineRule="auto"/>
              <w:jc w:val="center"/>
              <w:rPr>
                <w:rFonts w:eastAsia="Times New Roman" w:cs="Arial"/>
                <w:b/>
                <w:bCs/>
                <w:color w:val="000000"/>
                <w:sz w:val="18"/>
                <w:szCs w:val="18"/>
                <w:lang w:val="en-GB" w:eastAsia="en-GB"/>
              </w:rPr>
            </w:pPr>
            <w:r w:rsidRPr="00F16EF8">
              <w:rPr>
                <w:rFonts w:eastAsia="Times New Roman" w:cs="Arial"/>
                <w:b/>
                <w:bCs/>
                <w:color w:val="000000"/>
                <w:sz w:val="18"/>
                <w:szCs w:val="18"/>
                <w:lang w:val="en-GB" w:eastAsia="en-GB"/>
              </w:rPr>
              <w:t>1.08</w:t>
            </w:r>
          </w:p>
        </w:tc>
        <w:tc>
          <w:tcPr>
            <w:tcW w:w="690" w:type="dxa"/>
            <w:tcBorders>
              <w:top w:val="nil"/>
              <w:left w:val="nil"/>
              <w:bottom w:val="single" w:sz="4" w:space="0" w:color="auto"/>
              <w:right w:val="single" w:sz="4" w:space="0" w:color="auto"/>
            </w:tcBorders>
            <w:shd w:val="clear" w:color="auto" w:fill="auto"/>
            <w:noWrap/>
            <w:vAlign w:val="center"/>
            <w:hideMark/>
          </w:tcPr>
          <w:p w14:paraId="27B92781" w14:textId="77777777" w:rsidR="00F16EF8" w:rsidRPr="00F16EF8" w:rsidRDefault="00F16EF8" w:rsidP="00F16EF8">
            <w:pPr>
              <w:spacing w:after="0" w:line="240" w:lineRule="auto"/>
              <w:jc w:val="center"/>
              <w:rPr>
                <w:rFonts w:eastAsia="Times New Roman" w:cs="Arial"/>
                <w:b/>
                <w:bCs/>
                <w:color w:val="000000"/>
                <w:sz w:val="18"/>
                <w:szCs w:val="18"/>
                <w:lang w:val="en-GB" w:eastAsia="en-GB"/>
              </w:rPr>
            </w:pPr>
            <w:r w:rsidRPr="00F16EF8">
              <w:rPr>
                <w:rFonts w:eastAsia="Times New Roman" w:cs="Arial"/>
                <w:b/>
                <w:bCs/>
                <w:color w:val="000000"/>
                <w:sz w:val="18"/>
                <w:szCs w:val="18"/>
                <w:lang w:val="en-GB" w:eastAsia="en-GB"/>
              </w:rPr>
              <w:t>0.18</w:t>
            </w:r>
          </w:p>
        </w:tc>
        <w:tc>
          <w:tcPr>
            <w:tcW w:w="690" w:type="dxa"/>
            <w:tcBorders>
              <w:top w:val="nil"/>
              <w:left w:val="nil"/>
              <w:bottom w:val="single" w:sz="4" w:space="0" w:color="auto"/>
              <w:right w:val="single" w:sz="4" w:space="0" w:color="auto"/>
            </w:tcBorders>
            <w:shd w:val="clear" w:color="auto" w:fill="auto"/>
            <w:noWrap/>
            <w:vAlign w:val="center"/>
            <w:hideMark/>
          </w:tcPr>
          <w:p w14:paraId="052D3A89" w14:textId="77777777" w:rsidR="00F16EF8" w:rsidRPr="00F16EF8" w:rsidRDefault="00F16EF8" w:rsidP="00F16EF8">
            <w:pPr>
              <w:spacing w:after="0" w:line="240" w:lineRule="auto"/>
              <w:jc w:val="center"/>
              <w:rPr>
                <w:rFonts w:eastAsia="Times New Roman" w:cs="Arial"/>
                <w:b/>
                <w:bCs/>
                <w:color w:val="000000"/>
                <w:sz w:val="18"/>
                <w:szCs w:val="18"/>
                <w:lang w:val="en-GB" w:eastAsia="en-GB"/>
              </w:rPr>
            </w:pPr>
            <w:r w:rsidRPr="00F16EF8">
              <w:rPr>
                <w:rFonts w:eastAsia="Times New Roman" w:cs="Arial"/>
                <w:b/>
                <w:bCs/>
                <w:color w:val="000000"/>
                <w:sz w:val="18"/>
                <w:szCs w:val="18"/>
                <w:lang w:val="en-GB" w:eastAsia="en-GB"/>
              </w:rPr>
              <w:t>1.08</w:t>
            </w:r>
          </w:p>
        </w:tc>
        <w:tc>
          <w:tcPr>
            <w:tcW w:w="690" w:type="dxa"/>
            <w:tcBorders>
              <w:top w:val="nil"/>
              <w:left w:val="nil"/>
              <w:bottom w:val="single" w:sz="4" w:space="0" w:color="auto"/>
              <w:right w:val="single" w:sz="4" w:space="0" w:color="auto"/>
            </w:tcBorders>
            <w:shd w:val="clear" w:color="auto" w:fill="auto"/>
            <w:noWrap/>
            <w:vAlign w:val="center"/>
            <w:hideMark/>
          </w:tcPr>
          <w:p w14:paraId="332B55DD" w14:textId="77777777" w:rsidR="00F16EF8" w:rsidRPr="00F16EF8" w:rsidRDefault="00F16EF8" w:rsidP="00F16EF8">
            <w:pPr>
              <w:spacing w:after="0" w:line="240" w:lineRule="auto"/>
              <w:jc w:val="center"/>
              <w:rPr>
                <w:rFonts w:eastAsia="Times New Roman" w:cs="Arial"/>
                <w:b/>
                <w:bCs/>
                <w:color w:val="000000"/>
                <w:sz w:val="18"/>
                <w:szCs w:val="18"/>
                <w:lang w:val="en-GB" w:eastAsia="en-GB"/>
              </w:rPr>
            </w:pPr>
            <w:r w:rsidRPr="00F16EF8">
              <w:rPr>
                <w:rFonts w:eastAsia="Times New Roman" w:cs="Arial"/>
                <w:b/>
                <w:bCs/>
                <w:color w:val="000000"/>
                <w:sz w:val="18"/>
                <w:szCs w:val="18"/>
                <w:lang w:val="en-GB" w:eastAsia="en-GB"/>
              </w:rPr>
              <w:t>0.18</w:t>
            </w:r>
          </w:p>
        </w:tc>
        <w:tc>
          <w:tcPr>
            <w:tcW w:w="690" w:type="dxa"/>
            <w:tcBorders>
              <w:top w:val="nil"/>
              <w:left w:val="nil"/>
              <w:bottom w:val="single" w:sz="4" w:space="0" w:color="auto"/>
              <w:right w:val="single" w:sz="4" w:space="0" w:color="auto"/>
            </w:tcBorders>
            <w:shd w:val="clear" w:color="auto" w:fill="auto"/>
            <w:noWrap/>
            <w:vAlign w:val="center"/>
            <w:hideMark/>
          </w:tcPr>
          <w:p w14:paraId="2089CCB0" w14:textId="77777777" w:rsidR="00F16EF8" w:rsidRPr="00F16EF8" w:rsidRDefault="00F16EF8" w:rsidP="00F16EF8">
            <w:pPr>
              <w:spacing w:after="0" w:line="240" w:lineRule="auto"/>
              <w:jc w:val="center"/>
              <w:rPr>
                <w:rFonts w:eastAsia="Times New Roman" w:cs="Arial"/>
                <w:b/>
                <w:bCs/>
                <w:color w:val="000000"/>
                <w:sz w:val="18"/>
                <w:szCs w:val="18"/>
                <w:lang w:val="en-GB" w:eastAsia="en-GB"/>
              </w:rPr>
            </w:pPr>
            <w:r w:rsidRPr="00F16EF8">
              <w:rPr>
                <w:rFonts w:eastAsia="Times New Roman" w:cs="Arial"/>
                <w:b/>
                <w:bCs/>
                <w:color w:val="000000"/>
                <w:sz w:val="18"/>
                <w:szCs w:val="18"/>
                <w:lang w:val="en-GB" w:eastAsia="en-GB"/>
              </w:rPr>
              <w:t>1.08</w:t>
            </w:r>
          </w:p>
        </w:tc>
        <w:tc>
          <w:tcPr>
            <w:tcW w:w="690" w:type="dxa"/>
            <w:tcBorders>
              <w:top w:val="nil"/>
              <w:left w:val="nil"/>
              <w:bottom w:val="single" w:sz="4" w:space="0" w:color="auto"/>
              <w:right w:val="nil"/>
            </w:tcBorders>
            <w:shd w:val="clear" w:color="auto" w:fill="auto"/>
            <w:noWrap/>
            <w:vAlign w:val="center"/>
            <w:hideMark/>
          </w:tcPr>
          <w:p w14:paraId="617E47C3" w14:textId="77777777" w:rsidR="00F16EF8" w:rsidRPr="00F16EF8" w:rsidRDefault="00F16EF8" w:rsidP="00F16EF8">
            <w:pPr>
              <w:spacing w:after="0" w:line="240" w:lineRule="auto"/>
              <w:jc w:val="center"/>
              <w:rPr>
                <w:rFonts w:eastAsia="Times New Roman" w:cs="Arial"/>
                <w:b/>
                <w:bCs/>
                <w:color w:val="000000"/>
                <w:sz w:val="18"/>
                <w:szCs w:val="18"/>
                <w:lang w:val="en-GB" w:eastAsia="en-GB"/>
              </w:rPr>
            </w:pPr>
            <w:r w:rsidRPr="00F16EF8">
              <w:rPr>
                <w:rFonts w:eastAsia="Times New Roman" w:cs="Arial"/>
                <w:b/>
                <w:bCs/>
                <w:color w:val="000000"/>
                <w:sz w:val="18"/>
                <w:szCs w:val="18"/>
                <w:lang w:val="en-GB" w:eastAsia="en-GB"/>
              </w:rPr>
              <w:t>0.18</w:t>
            </w:r>
          </w:p>
        </w:tc>
        <w:tc>
          <w:tcPr>
            <w:tcW w:w="700" w:type="dxa"/>
            <w:tcBorders>
              <w:top w:val="nil"/>
              <w:left w:val="single" w:sz="8" w:space="0" w:color="auto"/>
              <w:bottom w:val="single" w:sz="4" w:space="0" w:color="auto"/>
              <w:right w:val="single" w:sz="4" w:space="0" w:color="auto"/>
            </w:tcBorders>
            <w:shd w:val="clear" w:color="auto" w:fill="auto"/>
            <w:noWrap/>
            <w:vAlign w:val="center"/>
            <w:hideMark/>
          </w:tcPr>
          <w:p w14:paraId="4493FD26" w14:textId="77777777" w:rsidR="00F16EF8" w:rsidRPr="00F16EF8" w:rsidRDefault="00F16EF8" w:rsidP="00F16EF8">
            <w:pPr>
              <w:spacing w:after="0" w:line="240" w:lineRule="auto"/>
              <w:jc w:val="center"/>
              <w:rPr>
                <w:rFonts w:eastAsia="Times New Roman" w:cs="Arial"/>
                <w:b/>
                <w:bCs/>
                <w:color w:val="000000"/>
                <w:sz w:val="18"/>
                <w:szCs w:val="18"/>
                <w:lang w:val="en-GB" w:eastAsia="en-GB"/>
              </w:rPr>
            </w:pPr>
            <w:r w:rsidRPr="00F16EF8">
              <w:rPr>
                <w:rFonts w:eastAsia="Times New Roman" w:cs="Arial"/>
                <w:b/>
                <w:bCs/>
                <w:color w:val="000000"/>
                <w:sz w:val="18"/>
                <w:szCs w:val="18"/>
                <w:lang w:val="en-GB" w:eastAsia="en-GB"/>
              </w:rPr>
              <w:t>1.08</w:t>
            </w:r>
          </w:p>
        </w:tc>
        <w:tc>
          <w:tcPr>
            <w:tcW w:w="700" w:type="dxa"/>
            <w:tcBorders>
              <w:top w:val="nil"/>
              <w:left w:val="nil"/>
              <w:bottom w:val="single" w:sz="4" w:space="0" w:color="auto"/>
              <w:right w:val="single" w:sz="4" w:space="0" w:color="auto"/>
            </w:tcBorders>
            <w:shd w:val="clear" w:color="auto" w:fill="auto"/>
            <w:noWrap/>
            <w:vAlign w:val="center"/>
            <w:hideMark/>
          </w:tcPr>
          <w:p w14:paraId="7C637790" w14:textId="77777777" w:rsidR="00F16EF8" w:rsidRPr="00F16EF8" w:rsidRDefault="00F16EF8" w:rsidP="00F16EF8">
            <w:pPr>
              <w:spacing w:after="0" w:line="240" w:lineRule="auto"/>
              <w:jc w:val="center"/>
              <w:rPr>
                <w:rFonts w:eastAsia="Times New Roman" w:cs="Arial"/>
                <w:b/>
                <w:bCs/>
                <w:color w:val="000000"/>
                <w:sz w:val="18"/>
                <w:szCs w:val="18"/>
                <w:lang w:val="en-GB" w:eastAsia="en-GB"/>
              </w:rPr>
            </w:pPr>
            <w:r w:rsidRPr="00F16EF8">
              <w:rPr>
                <w:rFonts w:eastAsia="Times New Roman" w:cs="Arial"/>
                <w:b/>
                <w:bCs/>
                <w:color w:val="000000"/>
                <w:sz w:val="18"/>
                <w:szCs w:val="18"/>
                <w:lang w:val="en-GB" w:eastAsia="en-GB"/>
              </w:rPr>
              <w:t>0.18</w:t>
            </w:r>
          </w:p>
        </w:tc>
        <w:tc>
          <w:tcPr>
            <w:tcW w:w="700" w:type="dxa"/>
            <w:tcBorders>
              <w:top w:val="nil"/>
              <w:left w:val="nil"/>
              <w:bottom w:val="single" w:sz="4" w:space="0" w:color="auto"/>
              <w:right w:val="single" w:sz="4" w:space="0" w:color="auto"/>
            </w:tcBorders>
            <w:shd w:val="clear" w:color="auto" w:fill="auto"/>
            <w:noWrap/>
            <w:vAlign w:val="center"/>
            <w:hideMark/>
          </w:tcPr>
          <w:p w14:paraId="0EEECA93" w14:textId="77777777" w:rsidR="00F16EF8" w:rsidRPr="00F16EF8" w:rsidRDefault="00F16EF8" w:rsidP="00F16EF8">
            <w:pPr>
              <w:spacing w:after="0" w:line="240" w:lineRule="auto"/>
              <w:jc w:val="center"/>
              <w:rPr>
                <w:rFonts w:eastAsia="Times New Roman" w:cs="Arial"/>
                <w:b/>
                <w:bCs/>
                <w:color w:val="000000"/>
                <w:sz w:val="18"/>
                <w:szCs w:val="18"/>
                <w:lang w:val="en-GB" w:eastAsia="en-GB"/>
              </w:rPr>
            </w:pPr>
            <w:r w:rsidRPr="00F16EF8">
              <w:rPr>
                <w:rFonts w:eastAsia="Times New Roman" w:cs="Arial"/>
                <w:b/>
                <w:bCs/>
                <w:color w:val="000000"/>
                <w:sz w:val="18"/>
                <w:szCs w:val="18"/>
                <w:lang w:val="en-GB" w:eastAsia="en-GB"/>
              </w:rPr>
              <w:t>1.08</w:t>
            </w:r>
          </w:p>
        </w:tc>
        <w:tc>
          <w:tcPr>
            <w:tcW w:w="700" w:type="dxa"/>
            <w:tcBorders>
              <w:top w:val="nil"/>
              <w:left w:val="nil"/>
              <w:bottom w:val="single" w:sz="4" w:space="0" w:color="auto"/>
              <w:right w:val="single" w:sz="4" w:space="0" w:color="auto"/>
            </w:tcBorders>
            <w:shd w:val="clear" w:color="auto" w:fill="auto"/>
            <w:noWrap/>
            <w:vAlign w:val="center"/>
            <w:hideMark/>
          </w:tcPr>
          <w:p w14:paraId="79DE153B" w14:textId="77777777" w:rsidR="00F16EF8" w:rsidRPr="00F16EF8" w:rsidRDefault="00F16EF8" w:rsidP="00F16EF8">
            <w:pPr>
              <w:spacing w:after="0" w:line="240" w:lineRule="auto"/>
              <w:jc w:val="center"/>
              <w:rPr>
                <w:rFonts w:eastAsia="Times New Roman" w:cs="Arial"/>
                <w:b/>
                <w:bCs/>
                <w:color w:val="000000"/>
                <w:sz w:val="18"/>
                <w:szCs w:val="18"/>
                <w:lang w:val="en-GB" w:eastAsia="en-GB"/>
              </w:rPr>
            </w:pPr>
            <w:r w:rsidRPr="00F16EF8">
              <w:rPr>
                <w:rFonts w:eastAsia="Times New Roman" w:cs="Arial"/>
                <w:b/>
                <w:bCs/>
                <w:color w:val="000000"/>
                <w:sz w:val="18"/>
                <w:szCs w:val="18"/>
                <w:lang w:val="en-GB" w:eastAsia="en-GB"/>
              </w:rPr>
              <w:t>0.18</w:t>
            </w:r>
          </w:p>
        </w:tc>
        <w:tc>
          <w:tcPr>
            <w:tcW w:w="700" w:type="dxa"/>
            <w:tcBorders>
              <w:top w:val="nil"/>
              <w:left w:val="nil"/>
              <w:bottom w:val="single" w:sz="4" w:space="0" w:color="auto"/>
              <w:right w:val="single" w:sz="4" w:space="0" w:color="auto"/>
            </w:tcBorders>
            <w:shd w:val="clear" w:color="auto" w:fill="auto"/>
            <w:noWrap/>
            <w:vAlign w:val="center"/>
            <w:hideMark/>
          </w:tcPr>
          <w:p w14:paraId="57E1829A" w14:textId="77777777" w:rsidR="00F16EF8" w:rsidRPr="00F16EF8" w:rsidRDefault="00F16EF8" w:rsidP="00F16EF8">
            <w:pPr>
              <w:spacing w:after="0" w:line="240" w:lineRule="auto"/>
              <w:jc w:val="center"/>
              <w:rPr>
                <w:rFonts w:eastAsia="Times New Roman" w:cs="Arial"/>
                <w:b/>
                <w:bCs/>
                <w:color w:val="000000"/>
                <w:sz w:val="18"/>
                <w:szCs w:val="18"/>
                <w:lang w:val="en-GB" w:eastAsia="en-GB"/>
              </w:rPr>
            </w:pPr>
            <w:r w:rsidRPr="00F16EF8">
              <w:rPr>
                <w:rFonts w:eastAsia="Times New Roman" w:cs="Arial"/>
                <w:b/>
                <w:bCs/>
                <w:color w:val="000000"/>
                <w:sz w:val="18"/>
                <w:szCs w:val="18"/>
                <w:lang w:val="en-GB" w:eastAsia="en-GB"/>
              </w:rPr>
              <w:t>1.08</w:t>
            </w:r>
          </w:p>
        </w:tc>
        <w:tc>
          <w:tcPr>
            <w:tcW w:w="700" w:type="dxa"/>
            <w:tcBorders>
              <w:top w:val="nil"/>
              <w:left w:val="nil"/>
              <w:bottom w:val="single" w:sz="4" w:space="0" w:color="auto"/>
              <w:right w:val="single" w:sz="8" w:space="0" w:color="auto"/>
            </w:tcBorders>
            <w:shd w:val="clear" w:color="auto" w:fill="auto"/>
            <w:noWrap/>
            <w:vAlign w:val="center"/>
            <w:hideMark/>
          </w:tcPr>
          <w:p w14:paraId="015C25B1" w14:textId="77777777" w:rsidR="00F16EF8" w:rsidRPr="00F16EF8" w:rsidRDefault="00F16EF8" w:rsidP="00F16EF8">
            <w:pPr>
              <w:spacing w:after="0" w:line="240" w:lineRule="auto"/>
              <w:jc w:val="center"/>
              <w:rPr>
                <w:rFonts w:eastAsia="Times New Roman" w:cs="Arial"/>
                <w:b/>
                <w:bCs/>
                <w:color w:val="000000"/>
                <w:sz w:val="18"/>
                <w:szCs w:val="18"/>
                <w:lang w:val="en-GB" w:eastAsia="en-GB"/>
              </w:rPr>
            </w:pPr>
            <w:r w:rsidRPr="00F16EF8">
              <w:rPr>
                <w:rFonts w:eastAsia="Times New Roman" w:cs="Arial"/>
                <w:b/>
                <w:bCs/>
                <w:color w:val="000000"/>
                <w:sz w:val="18"/>
                <w:szCs w:val="18"/>
                <w:lang w:val="en-GB" w:eastAsia="en-GB"/>
              </w:rPr>
              <w:t>0.18</w:t>
            </w:r>
          </w:p>
        </w:tc>
      </w:tr>
      <w:tr w:rsidR="00F16EF8" w:rsidRPr="00F16EF8" w14:paraId="3D2D1F06" w14:textId="77777777" w:rsidTr="00081152">
        <w:trPr>
          <w:trHeight w:val="270"/>
          <w:jc w:val="center"/>
        </w:trPr>
        <w:tc>
          <w:tcPr>
            <w:tcW w:w="2110" w:type="dxa"/>
            <w:tcBorders>
              <w:top w:val="nil"/>
              <w:left w:val="single" w:sz="8" w:space="0" w:color="auto"/>
              <w:bottom w:val="single" w:sz="4" w:space="0" w:color="auto"/>
              <w:right w:val="nil"/>
            </w:tcBorders>
            <w:shd w:val="clear" w:color="auto" w:fill="auto"/>
            <w:noWrap/>
            <w:vAlign w:val="center"/>
            <w:hideMark/>
          </w:tcPr>
          <w:p w14:paraId="7CD299C0" w14:textId="77777777" w:rsidR="00F16EF8" w:rsidRPr="00F16EF8" w:rsidRDefault="00F16EF8" w:rsidP="00F16EF8">
            <w:pPr>
              <w:spacing w:after="0" w:line="240" w:lineRule="auto"/>
              <w:jc w:val="center"/>
              <w:rPr>
                <w:rFonts w:eastAsia="Times New Roman" w:cs="Arial"/>
                <w:b/>
                <w:bCs/>
                <w:color w:val="000000"/>
                <w:sz w:val="16"/>
                <w:szCs w:val="16"/>
                <w:lang w:val="en-GB" w:eastAsia="en-GB"/>
              </w:rPr>
            </w:pPr>
            <w:r w:rsidRPr="00F16EF8">
              <w:rPr>
                <w:rFonts w:eastAsia="Times New Roman" w:cs="Arial"/>
                <w:b/>
                <w:bCs/>
                <w:color w:val="000000"/>
                <w:sz w:val="16"/>
                <w:szCs w:val="16"/>
                <w:lang w:val="en-GB" w:eastAsia="en-GB"/>
              </w:rPr>
              <w:t>Free space path loss [dB]</w:t>
            </w:r>
          </w:p>
        </w:tc>
        <w:tc>
          <w:tcPr>
            <w:tcW w:w="690" w:type="dxa"/>
            <w:tcBorders>
              <w:top w:val="nil"/>
              <w:left w:val="single" w:sz="8" w:space="0" w:color="auto"/>
              <w:bottom w:val="single" w:sz="4" w:space="0" w:color="auto"/>
              <w:right w:val="single" w:sz="4" w:space="0" w:color="auto"/>
            </w:tcBorders>
            <w:shd w:val="clear" w:color="auto" w:fill="auto"/>
            <w:noWrap/>
            <w:vAlign w:val="center"/>
            <w:hideMark/>
          </w:tcPr>
          <w:p w14:paraId="36615050"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190.6</w:t>
            </w:r>
          </w:p>
        </w:tc>
        <w:tc>
          <w:tcPr>
            <w:tcW w:w="690" w:type="dxa"/>
            <w:tcBorders>
              <w:top w:val="nil"/>
              <w:left w:val="nil"/>
              <w:bottom w:val="single" w:sz="4" w:space="0" w:color="auto"/>
              <w:right w:val="single" w:sz="4" w:space="0" w:color="auto"/>
            </w:tcBorders>
            <w:shd w:val="clear" w:color="auto" w:fill="auto"/>
            <w:noWrap/>
            <w:vAlign w:val="center"/>
            <w:hideMark/>
          </w:tcPr>
          <w:p w14:paraId="4E52E6C0"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190.6</w:t>
            </w:r>
          </w:p>
        </w:tc>
        <w:tc>
          <w:tcPr>
            <w:tcW w:w="690" w:type="dxa"/>
            <w:tcBorders>
              <w:top w:val="nil"/>
              <w:left w:val="single" w:sz="8" w:space="0" w:color="auto"/>
              <w:bottom w:val="single" w:sz="4" w:space="0" w:color="auto"/>
              <w:right w:val="single" w:sz="4" w:space="0" w:color="auto"/>
            </w:tcBorders>
            <w:shd w:val="clear" w:color="auto" w:fill="auto"/>
            <w:noWrap/>
            <w:vAlign w:val="center"/>
            <w:hideMark/>
          </w:tcPr>
          <w:p w14:paraId="5D6B3DD9"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164.5</w:t>
            </w:r>
          </w:p>
        </w:tc>
        <w:tc>
          <w:tcPr>
            <w:tcW w:w="690" w:type="dxa"/>
            <w:tcBorders>
              <w:top w:val="nil"/>
              <w:left w:val="single" w:sz="8" w:space="0" w:color="auto"/>
              <w:bottom w:val="single" w:sz="4" w:space="0" w:color="auto"/>
              <w:right w:val="single" w:sz="4" w:space="0" w:color="auto"/>
            </w:tcBorders>
            <w:shd w:val="clear" w:color="auto" w:fill="auto"/>
            <w:noWrap/>
            <w:vAlign w:val="center"/>
            <w:hideMark/>
          </w:tcPr>
          <w:p w14:paraId="76308F76"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164.5</w:t>
            </w:r>
          </w:p>
        </w:tc>
        <w:tc>
          <w:tcPr>
            <w:tcW w:w="690" w:type="dxa"/>
            <w:tcBorders>
              <w:top w:val="nil"/>
              <w:left w:val="nil"/>
              <w:bottom w:val="single" w:sz="4" w:space="0" w:color="auto"/>
              <w:right w:val="single" w:sz="4" w:space="0" w:color="auto"/>
            </w:tcBorders>
            <w:shd w:val="clear" w:color="auto" w:fill="auto"/>
            <w:noWrap/>
            <w:vAlign w:val="center"/>
            <w:hideMark/>
          </w:tcPr>
          <w:p w14:paraId="3FFC95B5"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159.1</w:t>
            </w:r>
          </w:p>
        </w:tc>
        <w:tc>
          <w:tcPr>
            <w:tcW w:w="690" w:type="dxa"/>
            <w:tcBorders>
              <w:top w:val="nil"/>
              <w:left w:val="nil"/>
              <w:bottom w:val="single" w:sz="4" w:space="0" w:color="auto"/>
              <w:right w:val="nil"/>
            </w:tcBorders>
            <w:shd w:val="clear" w:color="auto" w:fill="auto"/>
            <w:noWrap/>
            <w:vAlign w:val="center"/>
            <w:hideMark/>
          </w:tcPr>
          <w:p w14:paraId="580813B3"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159.1</w:t>
            </w:r>
          </w:p>
        </w:tc>
        <w:tc>
          <w:tcPr>
            <w:tcW w:w="700" w:type="dxa"/>
            <w:tcBorders>
              <w:top w:val="nil"/>
              <w:left w:val="single" w:sz="8" w:space="0" w:color="auto"/>
              <w:bottom w:val="single" w:sz="4" w:space="0" w:color="auto"/>
              <w:right w:val="single" w:sz="4" w:space="0" w:color="auto"/>
            </w:tcBorders>
            <w:shd w:val="clear" w:color="auto" w:fill="auto"/>
            <w:noWrap/>
            <w:vAlign w:val="center"/>
            <w:hideMark/>
          </w:tcPr>
          <w:p w14:paraId="48E896CA"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190.6</w:t>
            </w:r>
          </w:p>
        </w:tc>
        <w:tc>
          <w:tcPr>
            <w:tcW w:w="700" w:type="dxa"/>
            <w:tcBorders>
              <w:top w:val="nil"/>
              <w:left w:val="nil"/>
              <w:bottom w:val="single" w:sz="4" w:space="0" w:color="auto"/>
              <w:right w:val="single" w:sz="4" w:space="0" w:color="auto"/>
            </w:tcBorders>
            <w:shd w:val="clear" w:color="auto" w:fill="auto"/>
            <w:noWrap/>
            <w:vAlign w:val="center"/>
            <w:hideMark/>
          </w:tcPr>
          <w:p w14:paraId="1DED9847"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190.6</w:t>
            </w:r>
          </w:p>
        </w:tc>
        <w:tc>
          <w:tcPr>
            <w:tcW w:w="700" w:type="dxa"/>
            <w:tcBorders>
              <w:top w:val="nil"/>
              <w:left w:val="single" w:sz="8" w:space="0" w:color="auto"/>
              <w:bottom w:val="single" w:sz="4" w:space="0" w:color="auto"/>
              <w:right w:val="single" w:sz="4" w:space="0" w:color="auto"/>
            </w:tcBorders>
            <w:shd w:val="clear" w:color="auto" w:fill="auto"/>
            <w:noWrap/>
            <w:vAlign w:val="center"/>
            <w:hideMark/>
          </w:tcPr>
          <w:p w14:paraId="3EF7ADEA"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164.5</w:t>
            </w:r>
          </w:p>
        </w:tc>
        <w:tc>
          <w:tcPr>
            <w:tcW w:w="700" w:type="dxa"/>
            <w:tcBorders>
              <w:top w:val="nil"/>
              <w:left w:val="single" w:sz="8" w:space="0" w:color="auto"/>
              <w:bottom w:val="single" w:sz="4" w:space="0" w:color="auto"/>
              <w:right w:val="single" w:sz="4" w:space="0" w:color="auto"/>
            </w:tcBorders>
            <w:shd w:val="clear" w:color="auto" w:fill="auto"/>
            <w:noWrap/>
            <w:vAlign w:val="center"/>
            <w:hideMark/>
          </w:tcPr>
          <w:p w14:paraId="3ED7C6D8"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164.5</w:t>
            </w:r>
          </w:p>
        </w:tc>
        <w:tc>
          <w:tcPr>
            <w:tcW w:w="700" w:type="dxa"/>
            <w:tcBorders>
              <w:top w:val="nil"/>
              <w:left w:val="nil"/>
              <w:bottom w:val="single" w:sz="4" w:space="0" w:color="auto"/>
              <w:right w:val="single" w:sz="4" w:space="0" w:color="auto"/>
            </w:tcBorders>
            <w:shd w:val="clear" w:color="auto" w:fill="auto"/>
            <w:noWrap/>
            <w:vAlign w:val="center"/>
            <w:hideMark/>
          </w:tcPr>
          <w:p w14:paraId="76F42854"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159.1</w:t>
            </w:r>
          </w:p>
        </w:tc>
        <w:tc>
          <w:tcPr>
            <w:tcW w:w="700" w:type="dxa"/>
            <w:tcBorders>
              <w:top w:val="nil"/>
              <w:left w:val="nil"/>
              <w:bottom w:val="single" w:sz="4" w:space="0" w:color="auto"/>
              <w:right w:val="single" w:sz="8" w:space="0" w:color="auto"/>
            </w:tcBorders>
            <w:shd w:val="clear" w:color="auto" w:fill="auto"/>
            <w:noWrap/>
            <w:vAlign w:val="center"/>
            <w:hideMark/>
          </w:tcPr>
          <w:p w14:paraId="0FBC12E2"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159.1</w:t>
            </w:r>
          </w:p>
        </w:tc>
      </w:tr>
      <w:tr w:rsidR="00F16EF8" w:rsidRPr="00F16EF8" w14:paraId="0D0BDC59" w14:textId="77777777" w:rsidTr="00081152">
        <w:trPr>
          <w:trHeight w:val="255"/>
          <w:jc w:val="center"/>
        </w:trPr>
        <w:tc>
          <w:tcPr>
            <w:tcW w:w="2110" w:type="dxa"/>
            <w:tcBorders>
              <w:top w:val="nil"/>
              <w:left w:val="single" w:sz="8" w:space="0" w:color="auto"/>
              <w:bottom w:val="single" w:sz="4" w:space="0" w:color="auto"/>
              <w:right w:val="nil"/>
            </w:tcBorders>
            <w:shd w:val="clear" w:color="auto" w:fill="auto"/>
            <w:noWrap/>
            <w:vAlign w:val="center"/>
            <w:hideMark/>
          </w:tcPr>
          <w:p w14:paraId="070C087E" w14:textId="77777777" w:rsidR="00F16EF8" w:rsidRPr="00F16EF8" w:rsidRDefault="00F16EF8" w:rsidP="00F16EF8">
            <w:pPr>
              <w:spacing w:after="0" w:line="240" w:lineRule="auto"/>
              <w:jc w:val="center"/>
              <w:rPr>
                <w:rFonts w:eastAsia="Times New Roman" w:cs="Arial"/>
                <w:b/>
                <w:bCs/>
                <w:color w:val="000000"/>
                <w:sz w:val="16"/>
                <w:szCs w:val="16"/>
                <w:lang w:val="en-GB" w:eastAsia="en-GB"/>
              </w:rPr>
            </w:pPr>
            <w:r w:rsidRPr="00F16EF8">
              <w:rPr>
                <w:rFonts w:eastAsia="Times New Roman" w:cs="Arial"/>
                <w:b/>
                <w:bCs/>
                <w:color w:val="000000"/>
                <w:sz w:val="16"/>
                <w:szCs w:val="16"/>
                <w:lang w:val="en-GB" w:eastAsia="en-GB"/>
              </w:rPr>
              <w:t>Atmospheric loss [dB]</w:t>
            </w:r>
          </w:p>
        </w:tc>
        <w:tc>
          <w:tcPr>
            <w:tcW w:w="690" w:type="dxa"/>
            <w:tcBorders>
              <w:top w:val="nil"/>
              <w:left w:val="single" w:sz="8" w:space="0" w:color="auto"/>
              <w:bottom w:val="single" w:sz="4" w:space="0" w:color="auto"/>
              <w:right w:val="single" w:sz="4" w:space="0" w:color="auto"/>
            </w:tcBorders>
            <w:shd w:val="clear" w:color="auto" w:fill="auto"/>
            <w:noWrap/>
            <w:vAlign w:val="center"/>
            <w:hideMark/>
          </w:tcPr>
          <w:p w14:paraId="73AE7F0B"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0.2</w:t>
            </w:r>
          </w:p>
        </w:tc>
        <w:tc>
          <w:tcPr>
            <w:tcW w:w="690" w:type="dxa"/>
            <w:tcBorders>
              <w:top w:val="nil"/>
              <w:left w:val="nil"/>
              <w:bottom w:val="single" w:sz="4" w:space="0" w:color="auto"/>
              <w:right w:val="single" w:sz="4" w:space="0" w:color="auto"/>
            </w:tcBorders>
            <w:shd w:val="clear" w:color="auto" w:fill="auto"/>
            <w:noWrap/>
            <w:vAlign w:val="center"/>
            <w:hideMark/>
          </w:tcPr>
          <w:p w14:paraId="084CCED2"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0.2</w:t>
            </w:r>
          </w:p>
        </w:tc>
        <w:tc>
          <w:tcPr>
            <w:tcW w:w="690" w:type="dxa"/>
            <w:tcBorders>
              <w:top w:val="nil"/>
              <w:left w:val="nil"/>
              <w:bottom w:val="single" w:sz="4" w:space="0" w:color="auto"/>
              <w:right w:val="single" w:sz="4" w:space="0" w:color="auto"/>
            </w:tcBorders>
            <w:shd w:val="clear" w:color="auto" w:fill="auto"/>
            <w:noWrap/>
            <w:vAlign w:val="center"/>
            <w:hideMark/>
          </w:tcPr>
          <w:p w14:paraId="05A711A7"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0.1</w:t>
            </w:r>
          </w:p>
        </w:tc>
        <w:tc>
          <w:tcPr>
            <w:tcW w:w="690" w:type="dxa"/>
            <w:tcBorders>
              <w:top w:val="nil"/>
              <w:left w:val="nil"/>
              <w:bottom w:val="single" w:sz="4" w:space="0" w:color="auto"/>
              <w:right w:val="single" w:sz="4" w:space="0" w:color="auto"/>
            </w:tcBorders>
            <w:shd w:val="clear" w:color="auto" w:fill="auto"/>
            <w:noWrap/>
            <w:vAlign w:val="center"/>
            <w:hideMark/>
          </w:tcPr>
          <w:p w14:paraId="755CF274"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0.1</w:t>
            </w:r>
          </w:p>
        </w:tc>
        <w:tc>
          <w:tcPr>
            <w:tcW w:w="690" w:type="dxa"/>
            <w:tcBorders>
              <w:top w:val="nil"/>
              <w:left w:val="nil"/>
              <w:bottom w:val="single" w:sz="4" w:space="0" w:color="auto"/>
              <w:right w:val="single" w:sz="4" w:space="0" w:color="auto"/>
            </w:tcBorders>
            <w:shd w:val="clear" w:color="auto" w:fill="auto"/>
            <w:noWrap/>
            <w:vAlign w:val="center"/>
            <w:hideMark/>
          </w:tcPr>
          <w:p w14:paraId="09CE5497"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0.1</w:t>
            </w:r>
          </w:p>
        </w:tc>
        <w:tc>
          <w:tcPr>
            <w:tcW w:w="690" w:type="dxa"/>
            <w:tcBorders>
              <w:top w:val="nil"/>
              <w:left w:val="nil"/>
              <w:bottom w:val="single" w:sz="4" w:space="0" w:color="auto"/>
              <w:right w:val="nil"/>
            </w:tcBorders>
            <w:shd w:val="clear" w:color="auto" w:fill="auto"/>
            <w:noWrap/>
            <w:vAlign w:val="center"/>
            <w:hideMark/>
          </w:tcPr>
          <w:p w14:paraId="4B8FCF7D"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0.1</w:t>
            </w:r>
          </w:p>
        </w:tc>
        <w:tc>
          <w:tcPr>
            <w:tcW w:w="700" w:type="dxa"/>
            <w:tcBorders>
              <w:top w:val="nil"/>
              <w:left w:val="single" w:sz="8" w:space="0" w:color="auto"/>
              <w:bottom w:val="single" w:sz="4" w:space="0" w:color="auto"/>
              <w:right w:val="single" w:sz="4" w:space="0" w:color="auto"/>
            </w:tcBorders>
            <w:shd w:val="clear" w:color="auto" w:fill="auto"/>
            <w:noWrap/>
            <w:vAlign w:val="center"/>
            <w:hideMark/>
          </w:tcPr>
          <w:p w14:paraId="6717D5CF"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0.2</w:t>
            </w:r>
          </w:p>
        </w:tc>
        <w:tc>
          <w:tcPr>
            <w:tcW w:w="700" w:type="dxa"/>
            <w:tcBorders>
              <w:top w:val="nil"/>
              <w:left w:val="nil"/>
              <w:bottom w:val="single" w:sz="4" w:space="0" w:color="auto"/>
              <w:right w:val="single" w:sz="4" w:space="0" w:color="auto"/>
            </w:tcBorders>
            <w:shd w:val="clear" w:color="auto" w:fill="auto"/>
            <w:noWrap/>
            <w:vAlign w:val="center"/>
            <w:hideMark/>
          </w:tcPr>
          <w:p w14:paraId="18725984"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0.2</w:t>
            </w:r>
          </w:p>
        </w:tc>
        <w:tc>
          <w:tcPr>
            <w:tcW w:w="700" w:type="dxa"/>
            <w:tcBorders>
              <w:top w:val="nil"/>
              <w:left w:val="nil"/>
              <w:bottom w:val="single" w:sz="4" w:space="0" w:color="auto"/>
              <w:right w:val="single" w:sz="4" w:space="0" w:color="auto"/>
            </w:tcBorders>
            <w:shd w:val="clear" w:color="auto" w:fill="auto"/>
            <w:noWrap/>
            <w:vAlign w:val="center"/>
            <w:hideMark/>
          </w:tcPr>
          <w:p w14:paraId="75E0E555"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0.1</w:t>
            </w:r>
          </w:p>
        </w:tc>
        <w:tc>
          <w:tcPr>
            <w:tcW w:w="700" w:type="dxa"/>
            <w:tcBorders>
              <w:top w:val="nil"/>
              <w:left w:val="nil"/>
              <w:bottom w:val="single" w:sz="4" w:space="0" w:color="auto"/>
              <w:right w:val="single" w:sz="4" w:space="0" w:color="auto"/>
            </w:tcBorders>
            <w:shd w:val="clear" w:color="auto" w:fill="auto"/>
            <w:noWrap/>
            <w:vAlign w:val="center"/>
            <w:hideMark/>
          </w:tcPr>
          <w:p w14:paraId="4FCAD98D"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0.1</w:t>
            </w:r>
          </w:p>
        </w:tc>
        <w:tc>
          <w:tcPr>
            <w:tcW w:w="700" w:type="dxa"/>
            <w:tcBorders>
              <w:top w:val="nil"/>
              <w:left w:val="nil"/>
              <w:bottom w:val="single" w:sz="4" w:space="0" w:color="auto"/>
              <w:right w:val="single" w:sz="4" w:space="0" w:color="auto"/>
            </w:tcBorders>
            <w:shd w:val="clear" w:color="auto" w:fill="auto"/>
            <w:noWrap/>
            <w:vAlign w:val="center"/>
            <w:hideMark/>
          </w:tcPr>
          <w:p w14:paraId="3408D0D0"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0.1</w:t>
            </w:r>
          </w:p>
        </w:tc>
        <w:tc>
          <w:tcPr>
            <w:tcW w:w="700" w:type="dxa"/>
            <w:tcBorders>
              <w:top w:val="nil"/>
              <w:left w:val="nil"/>
              <w:bottom w:val="single" w:sz="4" w:space="0" w:color="auto"/>
              <w:right w:val="single" w:sz="8" w:space="0" w:color="auto"/>
            </w:tcBorders>
            <w:shd w:val="clear" w:color="auto" w:fill="auto"/>
            <w:noWrap/>
            <w:vAlign w:val="center"/>
            <w:hideMark/>
          </w:tcPr>
          <w:p w14:paraId="513F8631"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0.1</w:t>
            </w:r>
          </w:p>
        </w:tc>
      </w:tr>
      <w:tr w:rsidR="00F16EF8" w:rsidRPr="00F16EF8" w14:paraId="4864C6A7" w14:textId="77777777" w:rsidTr="00081152">
        <w:trPr>
          <w:trHeight w:val="255"/>
          <w:jc w:val="center"/>
        </w:trPr>
        <w:tc>
          <w:tcPr>
            <w:tcW w:w="2110" w:type="dxa"/>
            <w:tcBorders>
              <w:top w:val="nil"/>
              <w:left w:val="single" w:sz="8" w:space="0" w:color="auto"/>
              <w:bottom w:val="single" w:sz="4" w:space="0" w:color="auto"/>
              <w:right w:val="nil"/>
            </w:tcBorders>
            <w:shd w:val="clear" w:color="auto" w:fill="auto"/>
            <w:noWrap/>
            <w:vAlign w:val="center"/>
            <w:hideMark/>
          </w:tcPr>
          <w:p w14:paraId="1B10EDF1" w14:textId="77777777" w:rsidR="00F16EF8" w:rsidRPr="00F16EF8" w:rsidRDefault="00F16EF8" w:rsidP="00F16EF8">
            <w:pPr>
              <w:spacing w:after="0" w:line="240" w:lineRule="auto"/>
              <w:jc w:val="center"/>
              <w:rPr>
                <w:rFonts w:eastAsia="Times New Roman" w:cs="Arial"/>
                <w:b/>
                <w:bCs/>
                <w:color w:val="000000"/>
                <w:sz w:val="16"/>
                <w:szCs w:val="16"/>
                <w:lang w:val="en-GB" w:eastAsia="en-GB"/>
              </w:rPr>
            </w:pPr>
            <w:r w:rsidRPr="00F16EF8">
              <w:rPr>
                <w:rFonts w:eastAsia="Times New Roman" w:cs="Arial"/>
                <w:b/>
                <w:bCs/>
                <w:color w:val="000000"/>
                <w:sz w:val="16"/>
                <w:szCs w:val="16"/>
                <w:lang w:val="en-GB" w:eastAsia="en-GB"/>
              </w:rPr>
              <w:t>Shadow fading margin [dB]</w:t>
            </w:r>
          </w:p>
        </w:tc>
        <w:tc>
          <w:tcPr>
            <w:tcW w:w="690" w:type="dxa"/>
            <w:tcBorders>
              <w:top w:val="nil"/>
              <w:left w:val="single" w:sz="8" w:space="0" w:color="auto"/>
              <w:bottom w:val="single" w:sz="4" w:space="0" w:color="auto"/>
              <w:right w:val="single" w:sz="4" w:space="0" w:color="auto"/>
            </w:tcBorders>
            <w:shd w:val="clear" w:color="auto" w:fill="auto"/>
            <w:noWrap/>
            <w:vAlign w:val="center"/>
            <w:hideMark/>
          </w:tcPr>
          <w:p w14:paraId="73850573"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3</w:t>
            </w:r>
          </w:p>
        </w:tc>
        <w:tc>
          <w:tcPr>
            <w:tcW w:w="690" w:type="dxa"/>
            <w:tcBorders>
              <w:top w:val="nil"/>
              <w:left w:val="nil"/>
              <w:bottom w:val="single" w:sz="4" w:space="0" w:color="auto"/>
              <w:right w:val="single" w:sz="4" w:space="0" w:color="auto"/>
            </w:tcBorders>
            <w:shd w:val="clear" w:color="auto" w:fill="auto"/>
            <w:noWrap/>
            <w:vAlign w:val="center"/>
            <w:hideMark/>
          </w:tcPr>
          <w:p w14:paraId="512EF0E1"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3</w:t>
            </w:r>
          </w:p>
        </w:tc>
        <w:tc>
          <w:tcPr>
            <w:tcW w:w="690" w:type="dxa"/>
            <w:tcBorders>
              <w:top w:val="nil"/>
              <w:left w:val="nil"/>
              <w:bottom w:val="single" w:sz="4" w:space="0" w:color="auto"/>
              <w:right w:val="single" w:sz="4" w:space="0" w:color="auto"/>
            </w:tcBorders>
            <w:shd w:val="clear" w:color="auto" w:fill="auto"/>
            <w:noWrap/>
            <w:vAlign w:val="center"/>
            <w:hideMark/>
          </w:tcPr>
          <w:p w14:paraId="10DBDB5B"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3</w:t>
            </w:r>
          </w:p>
        </w:tc>
        <w:tc>
          <w:tcPr>
            <w:tcW w:w="690" w:type="dxa"/>
            <w:tcBorders>
              <w:top w:val="nil"/>
              <w:left w:val="nil"/>
              <w:bottom w:val="single" w:sz="4" w:space="0" w:color="auto"/>
              <w:right w:val="single" w:sz="4" w:space="0" w:color="auto"/>
            </w:tcBorders>
            <w:shd w:val="clear" w:color="auto" w:fill="auto"/>
            <w:noWrap/>
            <w:vAlign w:val="center"/>
            <w:hideMark/>
          </w:tcPr>
          <w:p w14:paraId="5D7AEFF3"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3</w:t>
            </w:r>
          </w:p>
        </w:tc>
        <w:tc>
          <w:tcPr>
            <w:tcW w:w="690" w:type="dxa"/>
            <w:tcBorders>
              <w:top w:val="nil"/>
              <w:left w:val="nil"/>
              <w:bottom w:val="single" w:sz="4" w:space="0" w:color="auto"/>
              <w:right w:val="single" w:sz="4" w:space="0" w:color="auto"/>
            </w:tcBorders>
            <w:shd w:val="clear" w:color="auto" w:fill="auto"/>
            <w:noWrap/>
            <w:vAlign w:val="center"/>
            <w:hideMark/>
          </w:tcPr>
          <w:p w14:paraId="50541877"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3</w:t>
            </w:r>
          </w:p>
        </w:tc>
        <w:tc>
          <w:tcPr>
            <w:tcW w:w="690" w:type="dxa"/>
            <w:tcBorders>
              <w:top w:val="nil"/>
              <w:left w:val="nil"/>
              <w:bottom w:val="single" w:sz="4" w:space="0" w:color="auto"/>
              <w:right w:val="nil"/>
            </w:tcBorders>
            <w:shd w:val="clear" w:color="auto" w:fill="auto"/>
            <w:noWrap/>
            <w:vAlign w:val="center"/>
            <w:hideMark/>
          </w:tcPr>
          <w:p w14:paraId="453B693E"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3</w:t>
            </w:r>
          </w:p>
        </w:tc>
        <w:tc>
          <w:tcPr>
            <w:tcW w:w="700" w:type="dxa"/>
            <w:tcBorders>
              <w:top w:val="nil"/>
              <w:left w:val="single" w:sz="8" w:space="0" w:color="auto"/>
              <w:bottom w:val="single" w:sz="4" w:space="0" w:color="auto"/>
              <w:right w:val="single" w:sz="4" w:space="0" w:color="auto"/>
            </w:tcBorders>
            <w:shd w:val="clear" w:color="auto" w:fill="auto"/>
            <w:noWrap/>
            <w:vAlign w:val="center"/>
            <w:hideMark/>
          </w:tcPr>
          <w:p w14:paraId="13414B77"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3</w:t>
            </w:r>
          </w:p>
        </w:tc>
        <w:tc>
          <w:tcPr>
            <w:tcW w:w="700" w:type="dxa"/>
            <w:tcBorders>
              <w:top w:val="nil"/>
              <w:left w:val="nil"/>
              <w:bottom w:val="single" w:sz="4" w:space="0" w:color="auto"/>
              <w:right w:val="single" w:sz="4" w:space="0" w:color="auto"/>
            </w:tcBorders>
            <w:shd w:val="clear" w:color="auto" w:fill="auto"/>
            <w:noWrap/>
            <w:vAlign w:val="center"/>
            <w:hideMark/>
          </w:tcPr>
          <w:p w14:paraId="4AF8C2D6"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3</w:t>
            </w:r>
          </w:p>
        </w:tc>
        <w:tc>
          <w:tcPr>
            <w:tcW w:w="700" w:type="dxa"/>
            <w:tcBorders>
              <w:top w:val="nil"/>
              <w:left w:val="nil"/>
              <w:bottom w:val="single" w:sz="4" w:space="0" w:color="auto"/>
              <w:right w:val="single" w:sz="4" w:space="0" w:color="auto"/>
            </w:tcBorders>
            <w:shd w:val="clear" w:color="auto" w:fill="auto"/>
            <w:noWrap/>
            <w:vAlign w:val="center"/>
            <w:hideMark/>
          </w:tcPr>
          <w:p w14:paraId="445764D5"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3</w:t>
            </w:r>
          </w:p>
        </w:tc>
        <w:tc>
          <w:tcPr>
            <w:tcW w:w="700" w:type="dxa"/>
            <w:tcBorders>
              <w:top w:val="nil"/>
              <w:left w:val="nil"/>
              <w:bottom w:val="single" w:sz="4" w:space="0" w:color="auto"/>
              <w:right w:val="single" w:sz="4" w:space="0" w:color="auto"/>
            </w:tcBorders>
            <w:shd w:val="clear" w:color="auto" w:fill="auto"/>
            <w:noWrap/>
            <w:vAlign w:val="center"/>
            <w:hideMark/>
          </w:tcPr>
          <w:p w14:paraId="67C41818"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3</w:t>
            </w:r>
          </w:p>
        </w:tc>
        <w:tc>
          <w:tcPr>
            <w:tcW w:w="700" w:type="dxa"/>
            <w:tcBorders>
              <w:top w:val="nil"/>
              <w:left w:val="nil"/>
              <w:bottom w:val="single" w:sz="4" w:space="0" w:color="auto"/>
              <w:right w:val="single" w:sz="4" w:space="0" w:color="auto"/>
            </w:tcBorders>
            <w:shd w:val="clear" w:color="auto" w:fill="auto"/>
            <w:noWrap/>
            <w:vAlign w:val="center"/>
            <w:hideMark/>
          </w:tcPr>
          <w:p w14:paraId="68DD2CF4"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3</w:t>
            </w:r>
          </w:p>
        </w:tc>
        <w:tc>
          <w:tcPr>
            <w:tcW w:w="700" w:type="dxa"/>
            <w:tcBorders>
              <w:top w:val="nil"/>
              <w:left w:val="nil"/>
              <w:bottom w:val="single" w:sz="4" w:space="0" w:color="auto"/>
              <w:right w:val="single" w:sz="8" w:space="0" w:color="auto"/>
            </w:tcBorders>
            <w:shd w:val="clear" w:color="auto" w:fill="auto"/>
            <w:noWrap/>
            <w:vAlign w:val="center"/>
            <w:hideMark/>
          </w:tcPr>
          <w:p w14:paraId="08127D7D"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3</w:t>
            </w:r>
          </w:p>
        </w:tc>
      </w:tr>
      <w:tr w:rsidR="00F16EF8" w:rsidRPr="00F16EF8" w14:paraId="03D2BB78" w14:textId="77777777" w:rsidTr="00081152">
        <w:trPr>
          <w:trHeight w:val="255"/>
          <w:jc w:val="center"/>
        </w:trPr>
        <w:tc>
          <w:tcPr>
            <w:tcW w:w="2110" w:type="dxa"/>
            <w:tcBorders>
              <w:top w:val="nil"/>
              <w:left w:val="single" w:sz="8" w:space="0" w:color="auto"/>
              <w:bottom w:val="single" w:sz="4" w:space="0" w:color="auto"/>
              <w:right w:val="nil"/>
            </w:tcBorders>
            <w:shd w:val="clear" w:color="auto" w:fill="auto"/>
            <w:noWrap/>
            <w:vAlign w:val="center"/>
            <w:hideMark/>
          </w:tcPr>
          <w:p w14:paraId="5D25CEE1" w14:textId="77777777" w:rsidR="00F16EF8" w:rsidRPr="00F16EF8" w:rsidRDefault="00F16EF8" w:rsidP="00F16EF8">
            <w:pPr>
              <w:spacing w:after="0" w:line="240" w:lineRule="auto"/>
              <w:jc w:val="center"/>
              <w:rPr>
                <w:rFonts w:eastAsia="Times New Roman" w:cs="Arial"/>
                <w:b/>
                <w:bCs/>
                <w:color w:val="000000"/>
                <w:sz w:val="16"/>
                <w:szCs w:val="16"/>
                <w:lang w:val="en-GB" w:eastAsia="en-GB"/>
              </w:rPr>
            </w:pPr>
            <w:r w:rsidRPr="00F16EF8">
              <w:rPr>
                <w:rFonts w:eastAsia="Times New Roman" w:cs="Arial"/>
                <w:b/>
                <w:bCs/>
                <w:color w:val="000000"/>
                <w:sz w:val="16"/>
                <w:szCs w:val="16"/>
                <w:lang w:val="en-GB" w:eastAsia="en-GB"/>
              </w:rPr>
              <w:t>Scintillation Loss [dB]</w:t>
            </w:r>
          </w:p>
        </w:tc>
        <w:tc>
          <w:tcPr>
            <w:tcW w:w="690" w:type="dxa"/>
            <w:tcBorders>
              <w:top w:val="nil"/>
              <w:left w:val="single" w:sz="8" w:space="0" w:color="auto"/>
              <w:bottom w:val="single" w:sz="4" w:space="0" w:color="auto"/>
              <w:right w:val="single" w:sz="4" w:space="0" w:color="auto"/>
            </w:tcBorders>
            <w:shd w:val="clear" w:color="auto" w:fill="auto"/>
            <w:noWrap/>
            <w:vAlign w:val="center"/>
            <w:hideMark/>
          </w:tcPr>
          <w:p w14:paraId="0E7E8241"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2.2</w:t>
            </w:r>
          </w:p>
        </w:tc>
        <w:tc>
          <w:tcPr>
            <w:tcW w:w="690" w:type="dxa"/>
            <w:tcBorders>
              <w:top w:val="nil"/>
              <w:left w:val="nil"/>
              <w:bottom w:val="single" w:sz="4" w:space="0" w:color="auto"/>
              <w:right w:val="single" w:sz="4" w:space="0" w:color="auto"/>
            </w:tcBorders>
            <w:shd w:val="clear" w:color="auto" w:fill="auto"/>
            <w:noWrap/>
            <w:vAlign w:val="center"/>
            <w:hideMark/>
          </w:tcPr>
          <w:p w14:paraId="2657BC66"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2.2</w:t>
            </w:r>
          </w:p>
        </w:tc>
        <w:tc>
          <w:tcPr>
            <w:tcW w:w="690" w:type="dxa"/>
            <w:tcBorders>
              <w:top w:val="nil"/>
              <w:left w:val="nil"/>
              <w:bottom w:val="single" w:sz="4" w:space="0" w:color="auto"/>
              <w:right w:val="single" w:sz="4" w:space="0" w:color="auto"/>
            </w:tcBorders>
            <w:shd w:val="clear" w:color="auto" w:fill="auto"/>
            <w:noWrap/>
            <w:vAlign w:val="center"/>
            <w:hideMark/>
          </w:tcPr>
          <w:p w14:paraId="0EE36528"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2.2</w:t>
            </w:r>
          </w:p>
        </w:tc>
        <w:tc>
          <w:tcPr>
            <w:tcW w:w="690" w:type="dxa"/>
            <w:tcBorders>
              <w:top w:val="nil"/>
              <w:left w:val="nil"/>
              <w:bottom w:val="single" w:sz="4" w:space="0" w:color="auto"/>
              <w:right w:val="single" w:sz="4" w:space="0" w:color="auto"/>
            </w:tcBorders>
            <w:shd w:val="clear" w:color="auto" w:fill="auto"/>
            <w:noWrap/>
            <w:vAlign w:val="center"/>
            <w:hideMark/>
          </w:tcPr>
          <w:p w14:paraId="44AC69AD"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2.2</w:t>
            </w:r>
          </w:p>
        </w:tc>
        <w:tc>
          <w:tcPr>
            <w:tcW w:w="690" w:type="dxa"/>
            <w:tcBorders>
              <w:top w:val="nil"/>
              <w:left w:val="nil"/>
              <w:bottom w:val="single" w:sz="4" w:space="0" w:color="auto"/>
              <w:right w:val="single" w:sz="4" w:space="0" w:color="auto"/>
            </w:tcBorders>
            <w:shd w:val="clear" w:color="auto" w:fill="auto"/>
            <w:noWrap/>
            <w:vAlign w:val="center"/>
            <w:hideMark/>
          </w:tcPr>
          <w:p w14:paraId="255EE9E4"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2.2</w:t>
            </w:r>
          </w:p>
        </w:tc>
        <w:tc>
          <w:tcPr>
            <w:tcW w:w="690" w:type="dxa"/>
            <w:tcBorders>
              <w:top w:val="nil"/>
              <w:left w:val="nil"/>
              <w:bottom w:val="single" w:sz="4" w:space="0" w:color="auto"/>
              <w:right w:val="nil"/>
            </w:tcBorders>
            <w:shd w:val="clear" w:color="auto" w:fill="auto"/>
            <w:noWrap/>
            <w:vAlign w:val="center"/>
            <w:hideMark/>
          </w:tcPr>
          <w:p w14:paraId="453F93B7"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2.2</w:t>
            </w:r>
          </w:p>
        </w:tc>
        <w:tc>
          <w:tcPr>
            <w:tcW w:w="700" w:type="dxa"/>
            <w:tcBorders>
              <w:top w:val="nil"/>
              <w:left w:val="single" w:sz="8" w:space="0" w:color="auto"/>
              <w:bottom w:val="single" w:sz="4" w:space="0" w:color="auto"/>
              <w:right w:val="single" w:sz="4" w:space="0" w:color="auto"/>
            </w:tcBorders>
            <w:shd w:val="clear" w:color="auto" w:fill="auto"/>
            <w:noWrap/>
            <w:vAlign w:val="center"/>
            <w:hideMark/>
          </w:tcPr>
          <w:p w14:paraId="33129CB0"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2.2</w:t>
            </w:r>
          </w:p>
        </w:tc>
        <w:tc>
          <w:tcPr>
            <w:tcW w:w="700" w:type="dxa"/>
            <w:tcBorders>
              <w:top w:val="nil"/>
              <w:left w:val="nil"/>
              <w:bottom w:val="single" w:sz="4" w:space="0" w:color="auto"/>
              <w:right w:val="single" w:sz="4" w:space="0" w:color="auto"/>
            </w:tcBorders>
            <w:shd w:val="clear" w:color="auto" w:fill="auto"/>
            <w:noWrap/>
            <w:vAlign w:val="center"/>
            <w:hideMark/>
          </w:tcPr>
          <w:p w14:paraId="6C11D12B"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2.2</w:t>
            </w:r>
          </w:p>
        </w:tc>
        <w:tc>
          <w:tcPr>
            <w:tcW w:w="700" w:type="dxa"/>
            <w:tcBorders>
              <w:top w:val="nil"/>
              <w:left w:val="nil"/>
              <w:bottom w:val="single" w:sz="4" w:space="0" w:color="auto"/>
              <w:right w:val="single" w:sz="4" w:space="0" w:color="auto"/>
            </w:tcBorders>
            <w:shd w:val="clear" w:color="auto" w:fill="auto"/>
            <w:noWrap/>
            <w:vAlign w:val="center"/>
            <w:hideMark/>
          </w:tcPr>
          <w:p w14:paraId="02925889"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2.2</w:t>
            </w:r>
          </w:p>
        </w:tc>
        <w:tc>
          <w:tcPr>
            <w:tcW w:w="700" w:type="dxa"/>
            <w:tcBorders>
              <w:top w:val="nil"/>
              <w:left w:val="nil"/>
              <w:bottom w:val="single" w:sz="4" w:space="0" w:color="auto"/>
              <w:right w:val="single" w:sz="4" w:space="0" w:color="auto"/>
            </w:tcBorders>
            <w:shd w:val="clear" w:color="auto" w:fill="auto"/>
            <w:noWrap/>
            <w:vAlign w:val="center"/>
            <w:hideMark/>
          </w:tcPr>
          <w:p w14:paraId="435B2143"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2.2</w:t>
            </w:r>
          </w:p>
        </w:tc>
        <w:tc>
          <w:tcPr>
            <w:tcW w:w="700" w:type="dxa"/>
            <w:tcBorders>
              <w:top w:val="nil"/>
              <w:left w:val="nil"/>
              <w:bottom w:val="single" w:sz="4" w:space="0" w:color="auto"/>
              <w:right w:val="single" w:sz="4" w:space="0" w:color="auto"/>
            </w:tcBorders>
            <w:shd w:val="clear" w:color="auto" w:fill="auto"/>
            <w:noWrap/>
            <w:vAlign w:val="center"/>
            <w:hideMark/>
          </w:tcPr>
          <w:p w14:paraId="1A17E89A"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2.2</w:t>
            </w:r>
          </w:p>
        </w:tc>
        <w:tc>
          <w:tcPr>
            <w:tcW w:w="700" w:type="dxa"/>
            <w:tcBorders>
              <w:top w:val="nil"/>
              <w:left w:val="nil"/>
              <w:bottom w:val="single" w:sz="4" w:space="0" w:color="auto"/>
              <w:right w:val="single" w:sz="8" w:space="0" w:color="auto"/>
            </w:tcBorders>
            <w:shd w:val="clear" w:color="auto" w:fill="auto"/>
            <w:noWrap/>
            <w:vAlign w:val="center"/>
            <w:hideMark/>
          </w:tcPr>
          <w:p w14:paraId="22431D96"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2.2</w:t>
            </w:r>
          </w:p>
        </w:tc>
      </w:tr>
      <w:tr w:rsidR="00F16EF8" w:rsidRPr="00F16EF8" w14:paraId="4CF66A40" w14:textId="77777777" w:rsidTr="00081152">
        <w:trPr>
          <w:trHeight w:val="255"/>
          <w:jc w:val="center"/>
        </w:trPr>
        <w:tc>
          <w:tcPr>
            <w:tcW w:w="2110" w:type="dxa"/>
            <w:tcBorders>
              <w:top w:val="nil"/>
              <w:left w:val="single" w:sz="8" w:space="0" w:color="auto"/>
              <w:bottom w:val="single" w:sz="4" w:space="0" w:color="auto"/>
              <w:right w:val="nil"/>
            </w:tcBorders>
            <w:shd w:val="clear" w:color="auto" w:fill="auto"/>
            <w:noWrap/>
            <w:vAlign w:val="center"/>
            <w:hideMark/>
          </w:tcPr>
          <w:p w14:paraId="466E9202" w14:textId="77777777" w:rsidR="00F16EF8" w:rsidRPr="00F16EF8" w:rsidRDefault="00F16EF8" w:rsidP="00F16EF8">
            <w:pPr>
              <w:spacing w:after="0" w:line="240" w:lineRule="auto"/>
              <w:jc w:val="center"/>
              <w:rPr>
                <w:rFonts w:eastAsia="Times New Roman" w:cs="Arial"/>
                <w:b/>
                <w:bCs/>
                <w:color w:val="000000"/>
                <w:sz w:val="16"/>
                <w:szCs w:val="16"/>
                <w:lang w:val="en-GB" w:eastAsia="en-GB"/>
              </w:rPr>
            </w:pPr>
            <w:r w:rsidRPr="00F16EF8">
              <w:rPr>
                <w:rFonts w:eastAsia="Times New Roman" w:cs="Arial"/>
                <w:b/>
                <w:bCs/>
                <w:color w:val="000000"/>
                <w:sz w:val="16"/>
                <w:szCs w:val="16"/>
                <w:lang w:val="en-GB" w:eastAsia="en-GB"/>
              </w:rPr>
              <w:t>Polarization loss [dB]</w:t>
            </w:r>
          </w:p>
        </w:tc>
        <w:tc>
          <w:tcPr>
            <w:tcW w:w="690" w:type="dxa"/>
            <w:tcBorders>
              <w:top w:val="nil"/>
              <w:left w:val="single" w:sz="8" w:space="0" w:color="auto"/>
              <w:bottom w:val="single" w:sz="4" w:space="0" w:color="auto"/>
              <w:right w:val="single" w:sz="4" w:space="0" w:color="auto"/>
            </w:tcBorders>
            <w:shd w:val="clear" w:color="auto" w:fill="auto"/>
            <w:noWrap/>
            <w:vAlign w:val="center"/>
            <w:hideMark/>
          </w:tcPr>
          <w:p w14:paraId="1AE41F09"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3</w:t>
            </w:r>
          </w:p>
        </w:tc>
        <w:tc>
          <w:tcPr>
            <w:tcW w:w="690" w:type="dxa"/>
            <w:tcBorders>
              <w:top w:val="nil"/>
              <w:left w:val="nil"/>
              <w:bottom w:val="single" w:sz="4" w:space="0" w:color="auto"/>
              <w:right w:val="single" w:sz="4" w:space="0" w:color="auto"/>
            </w:tcBorders>
            <w:shd w:val="clear" w:color="auto" w:fill="auto"/>
            <w:noWrap/>
            <w:vAlign w:val="center"/>
            <w:hideMark/>
          </w:tcPr>
          <w:p w14:paraId="3C875A9C"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3</w:t>
            </w:r>
          </w:p>
        </w:tc>
        <w:tc>
          <w:tcPr>
            <w:tcW w:w="690" w:type="dxa"/>
            <w:tcBorders>
              <w:top w:val="nil"/>
              <w:left w:val="nil"/>
              <w:bottom w:val="single" w:sz="4" w:space="0" w:color="auto"/>
              <w:right w:val="single" w:sz="4" w:space="0" w:color="auto"/>
            </w:tcBorders>
            <w:shd w:val="clear" w:color="auto" w:fill="auto"/>
            <w:noWrap/>
            <w:vAlign w:val="center"/>
            <w:hideMark/>
          </w:tcPr>
          <w:p w14:paraId="2FABF14F"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3</w:t>
            </w:r>
          </w:p>
        </w:tc>
        <w:tc>
          <w:tcPr>
            <w:tcW w:w="690" w:type="dxa"/>
            <w:tcBorders>
              <w:top w:val="nil"/>
              <w:left w:val="nil"/>
              <w:bottom w:val="single" w:sz="4" w:space="0" w:color="auto"/>
              <w:right w:val="single" w:sz="4" w:space="0" w:color="auto"/>
            </w:tcBorders>
            <w:shd w:val="clear" w:color="auto" w:fill="auto"/>
            <w:noWrap/>
            <w:vAlign w:val="center"/>
            <w:hideMark/>
          </w:tcPr>
          <w:p w14:paraId="725526FB"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3</w:t>
            </w:r>
          </w:p>
        </w:tc>
        <w:tc>
          <w:tcPr>
            <w:tcW w:w="690" w:type="dxa"/>
            <w:tcBorders>
              <w:top w:val="nil"/>
              <w:left w:val="nil"/>
              <w:bottom w:val="single" w:sz="4" w:space="0" w:color="auto"/>
              <w:right w:val="single" w:sz="4" w:space="0" w:color="auto"/>
            </w:tcBorders>
            <w:shd w:val="clear" w:color="auto" w:fill="auto"/>
            <w:noWrap/>
            <w:vAlign w:val="center"/>
            <w:hideMark/>
          </w:tcPr>
          <w:p w14:paraId="47C56FBB"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3</w:t>
            </w:r>
          </w:p>
        </w:tc>
        <w:tc>
          <w:tcPr>
            <w:tcW w:w="690" w:type="dxa"/>
            <w:tcBorders>
              <w:top w:val="nil"/>
              <w:left w:val="nil"/>
              <w:bottom w:val="single" w:sz="4" w:space="0" w:color="auto"/>
              <w:right w:val="nil"/>
            </w:tcBorders>
            <w:shd w:val="clear" w:color="auto" w:fill="auto"/>
            <w:noWrap/>
            <w:vAlign w:val="center"/>
            <w:hideMark/>
          </w:tcPr>
          <w:p w14:paraId="7C5C3F35"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3</w:t>
            </w:r>
          </w:p>
        </w:tc>
        <w:tc>
          <w:tcPr>
            <w:tcW w:w="700" w:type="dxa"/>
            <w:tcBorders>
              <w:top w:val="nil"/>
              <w:left w:val="single" w:sz="8" w:space="0" w:color="auto"/>
              <w:bottom w:val="single" w:sz="4" w:space="0" w:color="auto"/>
              <w:right w:val="single" w:sz="4" w:space="0" w:color="auto"/>
            </w:tcBorders>
            <w:shd w:val="clear" w:color="auto" w:fill="auto"/>
            <w:noWrap/>
            <w:vAlign w:val="center"/>
            <w:hideMark/>
          </w:tcPr>
          <w:p w14:paraId="79F1D221"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3</w:t>
            </w:r>
          </w:p>
        </w:tc>
        <w:tc>
          <w:tcPr>
            <w:tcW w:w="700" w:type="dxa"/>
            <w:tcBorders>
              <w:top w:val="nil"/>
              <w:left w:val="nil"/>
              <w:bottom w:val="single" w:sz="4" w:space="0" w:color="auto"/>
              <w:right w:val="single" w:sz="4" w:space="0" w:color="auto"/>
            </w:tcBorders>
            <w:shd w:val="clear" w:color="auto" w:fill="auto"/>
            <w:noWrap/>
            <w:vAlign w:val="center"/>
            <w:hideMark/>
          </w:tcPr>
          <w:p w14:paraId="4D17422F"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3</w:t>
            </w:r>
          </w:p>
        </w:tc>
        <w:tc>
          <w:tcPr>
            <w:tcW w:w="700" w:type="dxa"/>
            <w:tcBorders>
              <w:top w:val="nil"/>
              <w:left w:val="nil"/>
              <w:bottom w:val="single" w:sz="4" w:space="0" w:color="auto"/>
              <w:right w:val="single" w:sz="4" w:space="0" w:color="auto"/>
            </w:tcBorders>
            <w:shd w:val="clear" w:color="auto" w:fill="auto"/>
            <w:noWrap/>
            <w:vAlign w:val="center"/>
            <w:hideMark/>
          </w:tcPr>
          <w:p w14:paraId="1052EB34"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3</w:t>
            </w:r>
          </w:p>
        </w:tc>
        <w:tc>
          <w:tcPr>
            <w:tcW w:w="700" w:type="dxa"/>
            <w:tcBorders>
              <w:top w:val="nil"/>
              <w:left w:val="nil"/>
              <w:bottom w:val="single" w:sz="4" w:space="0" w:color="auto"/>
              <w:right w:val="single" w:sz="4" w:space="0" w:color="auto"/>
            </w:tcBorders>
            <w:shd w:val="clear" w:color="auto" w:fill="auto"/>
            <w:noWrap/>
            <w:vAlign w:val="center"/>
            <w:hideMark/>
          </w:tcPr>
          <w:p w14:paraId="5815F378"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3</w:t>
            </w:r>
          </w:p>
        </w:tc>
        <w:tc>
          <w:tcPr>
            <w:tcW w:w="700" w:type="dxa"/>
            <w:tcBorders>
              <w:top w:val="nil"/>
              <w:left w:val="nil"/>
              <w:bottom w:val="single" w:sz="4" w:space="0" w:color="auto"/>
              <w:right w:val="single" w:sz="4" w:space="0" w:color="auto"/>
            </w:tcBorders>
            <w:shd w:val="clear" w:color="auto" w:fill="auto"/>
            <w:noWrap/>
            <w:vAlign w:val="center"/>
            <w:hideMark/>
          </w:tcPr>
          <w:p w14:paraId="5D2A2AAB"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3</w:t>
            </w:r>
          </w:p>
        </w:tc>
        <w:tc>
          <w:tcPr>
            <w:tcW w:w="700" w:type="dxa"/>
            <w:tcBorders>
              <w:top w:val="nil"/>
              <w:left w:val="nil"/>
              <w:bottom w:val="single" w:sz="4" w:space="0" w:color="auto"/>
              <w:right w:val="single" w:sz="8" w:space="0" w:color="auto"/>
            </w:tcBorders>
            <w:shd w:val="clear" w:color="auto" w:fill="auto"/>
            <w:noWrap/>
            <w:vAlign w:val="center"/>
            <w:hideMark/>
          </w:tcPr>
          <w:p w14:paraId="35B3C76D"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3</w:t>
            </w:r>
          </w:p>
        </w:tc>
      </w:tr>
      <w:tr w:rsidR="00F16EF8" w:rsidRPr="00F16EF8" w14:paraId="78F98108" w14:textId="77777777" w:rsidTr="00081152">
        <w:trPr>
          <w:trHeight w:val="255"/>
          <w:jc w:val="center"/>
        </w:trPr>
        <w:tc>
          <w:tcPr>
            <w:tcW w:w="2110" w:type="dxa"/>
            <w:tcBorders>
              <w:top w:val="nil"/>
              <w:left w:val="single" w:sz="8" w:space="0" w:color="auto"/>
              <w:bottom w:val="single" w:sz="4" w:space="0" w:color="auto"/>
              <w:right w:val="nil"/>
            </w:tcBorders>
            <w:shd w:val="clear" w:color="auto" w:fill="auto"/>
            <w:noWrap/>
            <w:vAlign w:val="center"/>
            <w:hideMark/>
          </w:tcPr>
          <w:p w14:paraId="2457084C" w14:textId="77777777" w:rsidR="00F16EF8" w:rsidRPr="00F16EF8" w:rsidRDefault="00F16EF8" w:rsidP="00F16EF8">
            <w:pPr>
              <w:spacing w:after="0" w:line="240" w:lineRule="auto"/>
              <w:jc w:val="center"/>
              <w:rPr>
                <w:rFonts w:eastAsia="Times New Roman" w:cs="Arial"/>
                <w:b/>
                <w:bCs/>
                <w:color w:val="000000"/>
                <w:sz w:val="16"/>
                <w:szCs w:val="16"/>
                <w:lang w:val="en-GB" w:eastAsia="en-GB"/>
              </w:rPr>
            </w:pPr>
            <w:r w:rsidRPr="00F16EF8">
              <w:rPr>
                <w:rFonts w:eastAsia="Times New Roman" w:cs="Arial"/>
                <w:b/>
                <w:bCs/>
                <w:color w:val="000000"/>
                <w:sz w:val="16"/>
                <w:szCs w:val="16"/>
                <w:lang w:val="en-GB" w:eastAsia="en-GB"/>
              </w:rPr>
              <w:t>Additional losses [dB]</w:t>
            </w:r>
          </w:p>
        </w:tc>
        <w:tc>
          <w:tcPr>
            <w:tcW w:w="690" w:type="dxa"/>
            <w:tcBorders>
              <w:top w:val="nil"/>
              <w:left w:val="single" w:sz="8" w:space="0" w:color="auto"/>
              <w:bottom w:val="single" w:sz="4" w:space="0" w:color="auto"/>
              <w:right w:val="single" w:sz="4" w:space="0" w:color="auto"/>
            </w:tcBorders>
            <w:shd w:val="clear" w:color="auto" w:fill="auto"/>
            <w:noWrap/>
            <w:vAlign w:val="center"/>
            <w:hideMark/>
          </w:tcPr>
          <w:p w14:paraId="39E6066E"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0</w:t>
            </w:r>
          </w:p>
        </w:tc>
        <w:tc>
          <w:tcPr>
            <w:tcW w:w="690" w:type="dxa"/>
            <w:tcBorders>
              <w:top w:val="nil"/>
              <w:left w:val="nil"/>
              <w:bottom w:val="single" w:sz="4" w:space="0" w:color="auto"/>
              <w:right w:val="single" w:sz="4" w:space="0" w:color="auto"/>
            </w:tcBorders>
            <w:shd w:val="clear" w:color="auto" w:fill="auto"/>
            <w:noWrap/>
            <w:vAlign w:val="center"/>
            <w:hideMark/>
          </w:tcPr>
          <w:p w14:paraId="489173FD"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0</w:t>
            </w:r>
          </w:p>
        </w:tc>
        <w:tc>
          <w:tcPr>
            <w:tcW w:w="690" w:type="dxa"/>
            <w:tcBorders>
              <w:top w:val="nil"/>
              <w:left w:val="nil"/>
              <w:bottom w:val="single" w:sz="4" w:space="0" w:color="auto"/>
              <w:right w:val="single" w:sz="4" w:space="0" w:color="auto"/>
            </w:tcBorders>
            <w:shd w:val="clear" w:color="auto" w:fill="auto"/>
            <w:noWrap/>
            <w:vAlign w:val="center"/>
            <w:hideMark/>
          </w:tcPr>
          <w:p w14:paraId="0F1B9C70"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0</w:t>
            </w:r>
          </w:p>
        </w:tc>
        <w:tc>
          <w:tcPr>
            <w:tcW w:w="690" w:type="dxa"/>
            <w:tcBorders>
              <w:top w:val="nil"/>
              <w:left w:val="nil"/>
              <w:bottom w:val="single" w:sz="4" w:space="0" w:color="auto"/>
              <w:right w:val="single" w:sz="4" w:space="0" w:color="auto"/>
            </w:tcBorders>
            <w:shd w:val="clear" w:color="auto" w:fill="auto"/>
            <w:noWrap/>
            <w:vAlign w:val="center"/>
            <w:hideMark/>
          </w:tcPr>
          <w:p w14:paraId="314D1AE7"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0</w:t>
            </w:r>
          </w:p>
        </w:tc>
        <w:tc>
          <w:tcPr>
            <w:tcW w:w="690" w:type="dxa"/>
            <w:tcBorders>
              <w:top w:val="nil"/>
              <w:left w:val="nil"/>
              <w:bottom w:val="single" w:sz="4" w:space="0" w:color="auto"/>
              <w:right w:val="single" w:sz="4" w:space="0" w:color="auto"/>
            </w:tcBorders>
            <w:shd w:val="clear" w:color="auto" w:fill="auto"/>
            <w:noWrap/>
            <w:vAlign w:val="center"/>
            <w:hideMark/>
          </w:tcPr>
          <w:p w14:paraId="760DDBD1"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0</w:t>
            </w:r>
          </w:p>
        </w:tc>
        <w:tc>
          <w:tcPr>
            <w:tcW w:w="690" w:type="dxa"/>
            <w:tcBorders>
              <w:top w:val="nil"/>
              <w:left w:val="nil"/>
              <w:bottom w:val="single" w:sz="4" w:space="0" w:color="auto"/>
              <w:right w:val="nil"/>
            </w:tcBorders>
            <w:shd w:val="clear" w:color="auto" w:fill="auto"/>
            <w:noWrap/>
            <w:vAlign w:val="center"/>
            <w:hideMark/>
          </w:tcPr>
          <w:p w14:paraId="0CB6E135"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0</w:t>
            </w:r>
          </w:p>
        </w:tc>
        <w:tc>
          <w:tcPr>
            <w:tcW w:w="700" w:type="dxa"/>
            <w:tcBorders>
              <w:top w:val="nil"/>
              <w:left w:val="single" w:sz="8" w:space="0" w:color="auto"/>
              <w:bottom w:val="single" w:sz="4" w:space="0" w:color="auto"/>
              <w:right w:val="single" w:sz="4" w:space="0" w:color="auto"/>
            </w:tcBorders>
            <w:shd w:val="clear" w:color="auto" w:fill="auto"/>
            <w:noWrap/>
            <w:vAlign w:val="center"/>
            <w:hideMark/>
          </w:tcPr>
          <w:p w14:paraId="5EEA6087"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0</w:t>
            </w:r>
          </w:p>
        </w:tc>
        <w:tc>
          <w:tcPr>
            <w:tcW w:w="700" w:type="dxa"/>
            <w:tcBorders>
              <w:top w:val="nil"/>
              <w:left w:val="nil"/>
              <w:bottom w:val="single" w:sz="4" w:space="0" w:color="auto"/>
              <w:right w:val="single" w:sz="4" w:space="0" w:color="auto"/>
            </w:tcBorders>
            <w:shd w:val="clear" w:color="auto" w:fill="auto"/>
            <w:noWrap/>
            <w:vAlign w:val="center"/>
            <w:hideMark/>
          </w:tcPr>
          <w:p w14:paraId="608616AC"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0</w:t>
            </w:r>
          </w:p>
        </w:tc>
        <w:tc>
          <w:tcPr>
            <w:tcW w:w="700" w:type="dxa"/>
            <w:tcBorders>
              <w:top w:val="nil"/>
              <w:left w:val="nil"/>
              <w:bottom w:val="single" w:sz="4" w:space="0" w:color="auto"/>
              <w:right w:val="single" w:sz="4" w:space="0" w:color="auto"/>
            </w:tcBorders>
            <w:shd w:val="clear" w:color="auto" w:fill="auto"/>
            <w:noWrap/>
            <w:vAlign w:val="center"/>
            <w:hideMark/>
          </w:tcPr>
          <w:p w14:paraId="1320B973"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0</w:t>
            </w:r>
          </w:p>
        </w:tc>
        <w:tc>
          <w:tcPr>
            <w:tcW w:w="700" w:type="dxa"/>
            <w:tcBorders>
              <w:top w:val="nil"/>
              <w:left w:val="nil"/>
              <w:bottom w:val="single" w:sz="4" w:space="0" w:color="auto"/>
              <w:right w:val="single" w:sz="4" w:space="0" w:color="auto"/>
            </w:tcBorders>
            <w:shd w:val="clear" w:color="auto" w:fill="auto"/>
            <w:noWrap/>
            <w:vAlign w:val="center"/>
            <w:hideMark/>
          </w:tcPr>
          <w:p w14:paraId="69773902"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0</w:t>
            </w:r>
          </w:p>
        </w:tc>
        <w:tc>
          <w:tcPr>
            <w:tcW w:w="700" w:type="dxa"/>
            <w:tcBorders>
              <w:top w:val="nil"/>
              <w:left w:val="nil"/>
              <w:bottom w:val="single" w:sz="4" w:space="0" w:color="auto"/>
              <w:right w:val="single" w:sz="4" w:space="0" w:color="auto"/>
            </w:tcBorders>
            <w:shd w:val="clear" w:color="auto" w:fill="auto"/>
            <w:noWrap/>
            <w:vAlign w:val="center"/>
            <w:hideMark/>
          </w:tcPr>
          <w:p w14:paraId="1DD2DF77"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0</w:t>
            </w:r>
          </w:p>
        </w:tc>
        <w:tc>
          <w:tcPr>
            <w:tcW w:w="700" w:type="dxa"/>
            <w:tcBorders>
              <w:top w:val="nil"/>
              <w:left w:val="nil"/>
              <w:bottom w:val="single" w:sz="4" w:space="0" w:color="auto"/>
              <w:right w:val="single" w:sz="8" w:space="0" w:color="auto"/>
            </w:tcBorders>
            <w:shd w:val="clear" w:color="auto" w:fill="auto"/>
            <w:noWrap/>
            <w:vAlign w:val="center"/>
            <w:hideMark/>
          </w:tcPr>
          <w:p w14:paraId="3DD394A0" w14:textId="77777777" w:rsidR="00F16EF8" w:rsidRPr="00F16EF8" w:rsidRDefault="00F16EF8" w:rsidP="00F16EF8">
            <w:pPr>
              <w:spacing w:after="0" w:line="240" w:lineRule="auto"/>
              <w:jc w:val="center"/>
              <w:rPr>
                <w:rFonts w:eastAsia="Times New Roman" w:cs="Arial"/>
                <w:color w:val="000000"/>
                <w:sz w:val="18"/>
                <w:szCs w:val="18"/>
                <w:lang w:val="en-GB" w:eastAsia="en-GB"/>
              </w:rPr>
            </w:pPr>
            <w:r w:rsidRPr="00F16EF8">
              <w:rPr>
                <w:rFonts w:eastAsia="Times New Roman" w:cs="Arial"/>
                <w:color w:val="000000"/>
                <w:sz w:val="18"/>
                <w:szCs w:val="18"/>
                <w:lang w:val="en-GB" w:eastAsia="en-GB"/>
              </w:rPr>
              <w:t>0</w:t>
            </w:r>
          </w:p>
        </w:tc>
      </w:tr>
      <w:tr w:rsidR="00F16EF8" w:rsidRPr="00F16EF8" w14:paraId="2BB75E55" w14:textId="77777777" w:rsidTr="00081152">
        <w:trPr>
          <w:trHeight w:val="375"/>
          <w:jc w:val="center"/>
        </w:trPr>
        <w:tc>
          <w:tcPr>
            <w:tcW w:w="2110" w:type="dxa"/>
            <w:tcBorders>
              <w:top w:val="nil"/>
              <w:left w:val="single" w:sz="8" w:space="0" w:color="auto"/>
              <w:bottom w:val="single" w:sz="8" w:space="0" w:color="auto"/>
              <w:right w:val="nil"/>
            </w:tcBorders>
            <w:shd w:val="clear" w:color="auto" w:fill="auto"/>
            <w:noWrap/>
            <w:vAlign w:val="center"/>
            <w:hideMark/>
          </w:tcPr>
          <w:p w14:paraId="16D817FB" w14:textId="77777777" w:rsidR="00F16EF8" w:rsidRPr="00F16EF8" w:rsidRDefault="00F16EF8" w:rsidP="00F16EF8">
            <w:pPr>
              <w:spacing w:after="0" w:line="240" w:lineRule="auto"/>
              <w:jc w:val="center"/>
              <w:rPr>
                <w:rFonts w:eastAsia="Times New Roman" w:cs="Arial"/>
                <w:b/>
                <w:bCs/>
                <w:color w:val="000000"/>
                <w:sz w:val="16"/>
                <w:szCs w:val="16"/>
                <w:lang w:val="en-GB" w:eastAsia="en-GB"/>
              </w:rPr>
            </w:pPr>
            <w:r w:rsidRPr="00F16EF8">
              <w:rPr>
                <w:rFonts w:eastAsia="Times New Roman" w:cs="Arial"/>
                <w:b/>
                <w:bCs/>
                <w:color w:val="000000"/>
                <w:sz w:val="16"/>
                <w:szCs w:val="16"/>
                <w:lang w:val="en-GB" w:eastAsia="en-GB"/>
              </w:rPr>
              <w:t>CNR [dB]</w:t>
            </w:r>
          </w:p>
        </w:tc>
        <w:tc>
          <w:tcPr>
            <w:tcW w:w="690" w:type="dxa"/>
            <w:tcBorders>
              <w:top w:val="nil"/>
              <w:left w:val="single" w:sz="8" w:space="0" w:color="auto"/>
              <w:bottom w:val="single" w:sz="8" w:space="0" w:color="auto"/>
              <w:right w:val="single" w:sz="4" w:space="0" w:color="auto"/>
            </w:tcBorders>
            <w:shd w:val="clear" w:color="auto" w:fill="auto"/>
            <w:noWrap/>
            <w:hideMark/>
          </w:tcPr>
          <w:p w14:paraId="7B1CA643" w14:textId="77777777" w:rsidR="00F16EF8" w:rsidRPr="00F16EF8" w:rsidRDefault="00F16EF8" w:rsidP="00F16EF8">
            <w:pPr>
              <w:spacing w:after="0" w:line="240" w:lineRule="auto"/>
              <w:jc w:val="center"/>
              <w:rPr>
                <w:rFonts w:ascii="Times New Roman" w:eastAsia="Times New Roman" w:hAnsi="Times New Roman" w:cs="Times New Roman"/>
                <w:color w:val="000000"/>
                <w:szCs w:val="20"/>
                <w:lang w:val="en-GB" w:eastAsia="en-GB"/>
              </w:rPr>
            </w:pPr>
            <w:r w:rsidRPr="00F16EF8">
              <w:rPr>
                <w:rFonts w:ascii="Times New Roman" w:eastAsia="Times New Roman" w:hAnsi="Times New Roman" w:cs="Times New Roman"/>
                <w:color w:val="000000"/>
                <w:szCs w:val="20"/>
                <w:lang w:val="en-GB" w:eastAsia="en-GB"/>
              </w:rPr>
              <w:t>-3.0</w:t>
            </w:r>
          </w:p>
        </w:tc>
        <w:tc>
          <w:tcPr>
            <w:tcW w:w="690" w:type="dxa"/>
            <w:tcBorders>
              <w:top w:val="nil"/>
              <w:left w:val="nil"/>
              <w:bottom w:val="single" w:sz="8" w:space="0" w:color="auto"/>
              <w:right w:val="single" w:sz="4" w:space="0" w:color="auto"/>
            </w:tcBorders>
            <w:shd w:val="clear" w:color="auto" w:fill="auto"/>
            <w:noWrap/>
            <w:hideMark/>
          </w:tcPr>
          <w:p w14:paraId="15234D61" w14:textId="77777777" w:rsidR="00F16EF8" w:rsidRPr="00F16EF8" w:rsidRDefault="00F16EF8" w:rsidP="00F16EF8">
            <w:pPr>
              <w:spacing w:after="0" w:line="240" w:lineRule="auto"/>
              <w:jc w:val="center"/>
              <w:rPr>
                <w:rFonts w:ascii="Times New Roman" w:eastAsia="Times New Roman" w:hAnsi="Times New Roman" w:cs="Times New Roman"/>
                <w:color w:val="000000"/>
                <w:szCs w:val="20"/>
                <w:lang w:val="en-GB" w:eastAsia="en-GB"/>
              </w:rPr>
            </w:pPr>
            <w:r w:rsidRPr="00F16EF8">
              <w:rPr>
                <w:rFonts w:ascii="Times New Roman" w:eastAsia="Times New Roman" w:hAnsi="Times New Roman" w:cs="Times New Roman"/>
                <w:color w:val="000000"/>
                <w:szCs w:val="20"/>
                <w:lang w:val="en-GB" w:eastAsia="en-GB"/>
              </w:rPr>
              <w:t>-11.0</w:t>
            </w:r>
          </w:p>
        </w:tc>
        <w:tc>
          <w:tcPr>
            <w:tcW w:w="690" w:type="dxa"/>
            <w:tcBorders>
              <w:top w:val="nil"/>
              <w:left w:val="nil"/>
              <w:bottom w:val="single" w:sz="8" w:space="0" w:color="auto"/>
              <w:right w:val="single" w:sz="4" w:space="0" w:color="auto"/>
            </w:tcBorders>
            <w:shd w:val="clear" w:color="000000" w:fill="00FF99"/>
            <w:noWrap/>
            <w:hideMark/>
          </w:tcPr>
          <w:p w14:paraId="065C5197" w14:textId="77777777" w:rsidR="00F16EF8" w:rsidRPr="00F16EF8" w:rsidRDefault="00F16EF8" w:rsidP="00F16EF8">
            <w:pPr>
              <w:spacing w:after="0" w:line="240" w:lineRule="auto"/>
              <w:jc w:val="center"/>
              <w:rPr>
                <w:rFonts w:ascii="Times New Roman" w:eastAsia="Times New Roman" w:hAnsi="Times New Roman" w:cs="Times New Roman"/>
                <w:color w:val="000000"/>
                <w:szCs w:val="20"/>
                <w:lang w:val="en-GB" w:eastAsia="en-GB"/>
              </w:rPr>
            </w:pPr>
            <w:r w:rsidRPr="00F16EF8">
              <w:rPr>
                <w:rFonts w:ascii="Times New Roman" w:eastAsia="Times New Roman" w:hAnsi="Times New Roman" w:cs="Times New Roman"/>
                <w:color w:val="000000"/>
                <w:szCs w:val="20"/>
                <w:lang w:val="en-GB" w:eastAsia="en-GB"/>
              </w:rPr>
              <w:t>4.2</w:t>
            </w:r>
          </w:p>
        </w:tc>
        <w:tc>
          <w:tcPr>
            <w:tcW w:w="690" w:type="dxa"/>
            <w:tcBorders>
              <w:top w:val="nil"/>
              <w:left w:val="nil"/>
              <w:bottom w:val="single" w:sz="8" w:space="0" w:color="auto"/>
              <w:right w:val="single" w:sz="4" w:space="0" w:color="auto"/>
            </w:tcBorders>
            <w:shd w:val="clear" w:color="000000" w:fill="00FF99"/>
            <w:noWrap/>
            <w:hideMark/>
          </w:tcPr>
          <w:p w14:paraId="1EB2CF0C" w14:textId="77777777" w:rsidR="00F16EF8" w:rsidRPr="00F16EF8" w:rsidRDefault="00F16EF8" w:rsidP="00F16EF8">
            <w:pPr>
              <w:spacing w:after="0" w:line="240" w:lineRule="auto"/>
              <w:jc w:val="center"/>
              <w:rPr>
                <w:rFonts w:ascii="Times New Roman" w:eastAsia="Times New Roman" w:hAnsi="Times New Roman" w:cs="Times New Roman"/>
                <w:color w:val="000000"/>
                <w:szCs w:val="20"/>
                <w:lang w:val="en-GB" w:eastAsia="en-GB"/>
              </w:rPr>
            </w:pPr>
            <w:r w:rsidRPr="00F16EF8">
              <w:rPr>
                <w:rFonts w:ascii="Times New Roman" w:eastAsia="Times New Roman" w:hAnsi="Times New Roman" w:cs="Times New Roman"/>
                <w:color w:val="000000"/>
                <w:szCs w:val="20"/>
                <w:lang w:val="en-GB" w:eastAsia="en-GB"/>
              </w:rPr>
              <w:t>-2.7</w:t>
            </w:r>
          </w:p>
        </w:tc>
        <w:tc>
          <w:tcPr>
            <w:tcW w:w="690" w:type="dxa"/>
            <w:tcBorders>
              <w:top w:val="nil"/>
              <w:left w:val="nil"/>
              <w:bottom w:val="single" w:sz="8" w:space="0" w:color="auto"/>
              <w:right w:val="single" w:sz="4" w:space="0" w:color="auto"/>
            </w:tcBorders>
            <w:shd w:val="clear" w:color="000000" w:fill="00FF99"/>
            <w:noWrap/>
            <w:hideMark/>
          </w:tcPr>
          <w:p w14:paraId="4CBDB3E2" w14:textId="77777777" w:rsidR="00F16EF8" w:rsidRPr="00F16EF8" w:rsidRDefault="00F16EF8" w:rsidP="00F16EF8">
            <w:pPr>
              <w:spacing w:after="0" w:line="240" w:lineRule="auto"/>
              <w:jc w:val="center"/>
              <w:rPr>
                <w:rFonts w:ascii="Times New Roman" w:eastAsia="Times New Roman" w:hAnsi="Times New Roman" w:cs="Times New Roman"/>
                <w:color w:val="000000"/>
                <w:szCs w:val="20"/>
                <w:lang w:val="en-GB" w:eastAsia="en-GB"/>
              </w:rPr>
            </w:pPr>
            <w:r w:rsidRPr="00F16EF8">
              <w:rPr>
                <w:rFonts w:ascii="Times New Roman" w:eastAsia="Times New Roman" w:hAnsi="Times New Roman" w:cs="Times New Roman"/>
                <w:color w:val="000000"/>
                <w:szCs w:val="20"/>
                <w:lang w:val="en-GB" w:eastAsia="en-GB"/>
              </w:rPr>
              <w:t>3.6</w:t>
            </w:r>
          </w:p>
        </w:tc>
        <w:tc>
          <w:tcPr>
            <w:tcW w:w="690" w:type="dxa"/>
            <w:tcBorders>
              <w:top w:val="nil"/>
              <w:left w:val="nil"/>
              <w:bottom w:val="single" w:sz="8" w:space="0" w:color="auto"/>
              <w:right w:val="nil"/>
            </w:tcBorders>
            <w:shd w:val="clear" w:color="000000" w:fill="00FF99"/>
            <w:noWrap/>
            <w:hideMark/>
          </w:tcPr>
          <w:p w14:paraId="24AACB9B" w14:textId="77777777" w:rsidR="00F16EF8" w:rsidRPr="00F16EF8" w:rsidRDefault="00F16EF8" w:rsidP="00F16EF8">
            <w:pPr>
              <w:spacing w:after="0" w:line="240" w:lineRule="auto"/>
              <w:jc w:val="center"/>
              <w:rPr>
                <w:rFonts w:ascii="Times New Roman" w:eastAsia="Times New Roman" w:hAnsi="Times New Roman" w:cs="Times New Roman"/>
                <w:color w:val="000000"/>
                <w:szCs w:val="20"/>
                <w:lang w:val="en-GB" w:eastAsia="en-GB"/>
              </w:rPr>
            </w:pPr>
            <w:r w:rsidRPr="00F16EF8">
              <w:rPr>
                <w:rFonts w:ascii="Times New Roman" w:eastAsia="Times New Roman" w:hAnsi="Times New Roman" w:cs="Times New Roman"/>
                <w:color w:val="000000"/>
                <w:szCs w:val="20"/>
                <w:lang w:val="en-GB" w:eastAsia="en-GB"/>
              </w:rPr>
              <w:t>2.7</w:t>
            </w:r>
          </w:p>
        </w:tc>
        <w:tc>
          <w:tcPr>
            <w:tcW w:w="700" w:type="dxa"/>
            <w:tcBorders>
              <w:top w:val="nil"/>
              <w:left w:val="single" w:sz="8" w:space="0" w:color="auto"/>
              <w:bottom w:val="single" w:sz="8" w:space="0" w:color="auto"/>
              <w:right w:val="single" w:sz="4" w:space="0" w:color="auto"/>
            </w:tcBorders>
            <w:shd w:val="clear" w:color="000000" w:fill="FFFFFF"/>
            <w:noWrap/>
            <w:hideMark/>
          </w:tcPr>
          <w:p w14:paraId="4751BF5E" w14:textId="77777777" w:rsidR="00F16EF8" w:rsidRPr="00F16EF8" w:rsidRDefault="00F16EF8" w:rsidP="00F16EF8">
            <w:pPr>
              <w:spacing w:after="0" w:line="240" w:lineRule="auto"/>
              <w:jc w:val="center"/>
              <w:rPr>
                <w:rFonts w:ascii="Times New Roman" w:eastAsia="Times New Roman" w:hAnsi="Times New Roman" w:cs="Times New Roman"/>
                <w:color w:val="000000"/>
                <w:szCs w:val="20"/>
                <w:lang w:val="en-GB" w:eastAsia="en-GB"/>
              </w:rPr>
            </w:pPr>
            <w:r w:rsidRPr="00F16EF8">
              <w:rPr>
                <w:rFonts w:ascii="Times New Roman" w:eastAsia="Times New Roman" w:hAnsi="Times New Roman" w:cs="Times New Roman"/>
                <w:color w:val="000000"/>
                <w:szCs w:val="20"/>
                <w:lang w:val="en-GB" w:eastAsia="en-GB"/>
              </w:rPr>
              <w:t>-8.5</w:t>
            </w:r>
          </w:p>
        </w:tc>
        <w:tc>
          <w:tcPr>
            <w:tcW w:w="700" w:type="dxa"/>
            <w:tcBorders>
              <w:top w:val="nil"/>
              <w:left w:val="nil"/>
              <w:bottom w:val="single" w:sz="8" w:space="0" w:color="auto"/>
              <w:right w:val="single" w:sz="4" w:space="0" w:color="auto"/>
            </w:tcBorders>
            <w:shd w:val="clear" w:color="000000" w:fill="FFFFFF"/>
            <w:noWrap/>
            <w:hideMark/>
          </w:tcPr>
          <w:p w14:paraId="26274C9F" w14:textId="77777777" w:rsidR="00F16EF8" w:rsidRPr="00F16EF8" w:rsidRDefault="00F16EF8" w:rsidP="00F16EF8">
            <w:pPr>
              <w:spacing w:after="0" w:line="240" w:lineRule="auto"/>
              <w:jc w:val="center"/>
              <w:rPr>
                <w:rFonts w:ascii="Times New Roman" w:eastAsia="Times New Roman" w:hAnsi="Times New Roman" w:cs="Times New Roman"/>
                <w:color w:val="000000"/>
                <w:szCs w:val="20"/>
                <w:lang w:val="en-GB" w:eastAsia="en-GB"/>
              </w:rPr>
            </w:pPr>
            <w:r w:rsidRPr="00F16EF8">
              <w:rPr>
                <w:rFonts w:ascii="Times New Roman" w:eastAsia="Times New Roman" w:hAnsi="Times New Roman" w:cs="Times New Roman"/>
                <w:color w:val="000000"/>
                <w:szCs w:val="20"/>
                <w:lang w:val="en-GB" w:eastAsia="en-GB"/>
              </w:rPr>
              <w:t>-16.0</w:t>
            </w:r>
          </w:p>
        </w:tc>
        <w:tc>
          <w:tcPr>
            <w:tcW w:w="700" w:type="dxa"/>
            <w:tcBorders>
              <w:top w:val="nil"/>
              <w:left w:val="nil"/>
              <w:bottom w:val="single" w:sz="8" w:space="0" w:color="auto"/>
              <w:right w:val="single" w:sz="4" w:space="0" w:color="auto"/>
            </w:tcBorders>
            <w:shd w:val="clear" w:color="000000" w:fill="00FF99"/>
            <w:noWrap/>
            <w:hideMark/>
          </w:tcPr>
          <w:p w14:paraId="4CB33093" w14:textId="77777777" w:rsidR="00F16EF8" w:rsidRPr="00F16EF8" w:rsidRDefault="00F16EF8" w:rsidP="00F16EF8">
            <w:pPr>
              <w:spacing w:after="0" w:line="240" w:lineRule="auto"/>
              <w:jc w:val="center"/>
              <w:rPr>
                <w:rFonts w:ascii="Times New Roman" w:eastAsia="Times New Roman" w:hAnsi="Times New Roman" w:cs="Times New Roman"/>
                <w:color w:val="000000"/>
                <w:szCs w:val="20"/>
                <w:lang w:val="en-GB" w:eastAsia="en-GB"/>
              </w:rPr>
            </w:pPr>
            <w:r w:rsidRPr="00F16EF8">
              <w:rPr>
                <w:rFonts w:ascii="Times New Roman" w:eastAsia="Times New Roman" w:hAnsi="Times New Roman" w:cs="Times New Roman"/>
                <w:color w:val="000000"/>
                <w:szCs w:val="20"/>
                <w:lang w:val="en-GB" w:eastAsia="en-GB"/>
              </w:rPr>
              <w:t>-1.8</w:t>
            </w:r>
          </w:p>
        </w:tc>
        <w:tc>
          <w:tcPr>
            <w:tcW w:w="700" w:type="dxa"/>
            <w:tcBorders>
              <w:top w:val="nil"/>
              <w:left w:val="nil"/>
              <w:bottom w:val="single" w:sz="8" w:space="0" w:color="auto"/>
              <w:right w:val="single" w:sz="4" w:space="0" w:color="auto"/>
            </w:tcBorders>
            <w:shd w:val="clear" w:color="000000" w:fill="00FF99"/>
            <w:noWrap/>
            <w:hideMark/>
          </w:tcPr>
          <w:p w14:paraId="115B55D1" w14:textId="77777777" w:rsidR="00F16EF8" w:rsidRPr="00F16EF8" w:rsidRDefault="00F16EF8" w:rsidP="00F16EF8">
            <w:pPr>
              <w:spacing w:after="0" w:line="240" w:lineRule="auto"/>
              <w:jc w:val="center"/>
              <w:rPr>
                <w:rFonts w:ascii="Times New Roman" w:eastAsia="Times New Roman" w:hAnsi="Times New Roman" w:cs="Times New Roman"/>
                <w:color w:val="000000"/>
                <w:szCs w:val="20"/>
                <w:lang w:val="en-GB" w:eastAsia="en-GB"/>
              </w:rPr>
            </w:pPr>
            <w:r w:rsidRPr="00F16EF8">
              <w:rPr>
                <w:rFonts w:ascii="Times New Roman" w:eastAsia="Times New Roman" w:hAnsi="Times New Roman" w:cs="Times New Roman"/>
                <w:color w:val="000000"/>
                <w:szCs w:val="20"/>
                <w:lang w:val="en-GB" w:eastAsia="en-GB"/>
              </w:rPr>
              <w:t>-8.7</w:t>
            </w:r>
          </w:p>
        </w:tc>
        <w:tc>
          <w:tcPr>
            <w:tcW w:w="700" w:type="dxa"/>
            <w:tcBorders>
              <w:top w:val="nil"/>
              <w:left w:val="nil"/>
              <w:bottom w:val="single" w:sz="8" w:space="0" w:color="auto"/>
              <w:right w:val="single" w:sz="4" w:space="0" w:color="auto"/>
            </w:tcBorders>
            <w:shd w:val="clear" w:color="000000" w:fill="00FF99"/>
            <w:noWrap/>
            <w:hideMark/>
          </w:tcPr>
          <w:p w14:paraId="77F7E14E" w14:textId="77777777" w:rsidR="00F16EF8" w:rsidRPr="00F16EF8" w:rsidRDefault="00F16EF8" w:rsidP="00F16EF8">
            <w:pPr>
              <w:spacing w:after="0" w:line="240" w:lineRule="auto"/>
              <w:jc w:val="center"/>
              <w:rPr>
                <w:rFonts w:ascii="Times New Roman" w:eastAsia="Times New Roman" w:hAnsi="Times New Roman" w:cs="Times New Roman"/>
                <w:color w:val="000000"/>
                <w:szCs w:val="20"/>
                <w:lang w:val="en-GB" w:eastAsia="en-GB"/>
              </w:rPr>
            </w:pPr>
            <w:r w:rsidRPr="00F16EF8">
              <w:rPr>
                <w:rFonts w:ascii="Times New Roman" w:eastAsia="Times New Roman" w:hAnsi="Times New Roman" w:cs="Times New Roman"/>
                <w:color w:val="000000"/>
                <w:szCs w:val="20"/>
                <w:lang w:val="en-GB" w:eastAsia="en-GB"/>
              </w:rPr>
              <w:t>-2.4</w:t>
            </w:r>
          </w:p>
        </w:tc>
        <w:tc>
          <w:tcPr>
            <w:tcW w:w="700" w:type="dxa"/>
            <w:tcBorders>
              <w:top w:val="nil"/>
              <w:left w:val="nil"/>
              <w:bottom w:val="single" w:sz="8" w:space="0" w:color="auto"/>
              <w:right w:val="single" w:sz="8" w:space="0" w:color="auto"/>
            </w:tcBorders>
            <w:shd w:val="clear" w:color="000000" w:fill="00FF99"/>
            <w:noWrap/>
            <w:hideMark/>
          </w:tcPr>
          <w:p w14:paraId="7B8B57E1" w14:textId="77777777" w:rsidR="00F16EF8" w:rsidRPr="00F16EF8" w:rsidRDefault="00F16EF8" w:rsidP="00F16EF8">
            <w:pPr>
              <w:spacing w:after="0" w:line="240" w:lineRule="auto"/>
              <w:jc w:val="center"/>
              <w:rPr>
                <w:rFonts w:ascii="Times New Roman" w:eastAsia="Times New Roman" w:hAnsi="Times New Roman" w:cs="Times New Roman"/>
                <w:color w:val="000000"/>
                <w:szCs w:val="20"/>
                <w:lang w:val="en-GB" w:eastAsia="en-GB"/>
              </w:rPr>
            </w:pPr>
            <w:r w:rsidRPr="00F16EF8">
              <w:rPr>
                <w:rFonts w:ascii="Times New Roman" w:eastAsia="Times New Roman" w:hAnsi="Times New Roman" w:cs="Times New Roman"/>
                <w:color w:val="000000"/>
                <w:szCs w:val="20"/>
                <w:lang w:val="en-GB" w:eastAsia="en-GB"/>
              </w:rPr>
              <w:t>-3.3</w:t>
            </w:r>
          </w:p>
        </w:tc>
      </w:tr>
    </w:tbl>
    <w:p w14:paraId="1DA9C4AB" w14:textId="77777777" w:rsidR="004E4DE3" w:rsidRPr="00545AF2" w:rsidRDefault="004E4DE3" w:rsidP="004455FE">
      <w:pPr>
        <w:jc w:val="both"/>
        <w:rPr>
          <w:sz w:val="22"/>
          <w:lang w:eastAsia="zh-CN"/>
        </w:rPr>
      </w:pPr>
    </w:p>
    <w:p w14:paraId="3FEA45CF" w14:textId="18F64BC0" w:rsidR="00750444" w:rsidRPr="00750444" w:rsidRDefault="00362429" w:rsidP="007B70CB">
      <w:pPr>
        <w:pStyle w:val="Caption"/>
        <w:jc w:val="center"/>
      </w:pPr>
      <w:bookmarkStart w:id="1" w:name="_Ref70415959"/>
      <w:r>
        <w:t xml:space="preserve">Table </w:t>
      </w:r>
      <w:r>
        <w:fldChar w:fldCharType="begin"/>
      </w:r>
      <w:r>
        <w:instrText xml:space="preserve"> SEQ Table \* ARABIC </w:instrText>
      </w:r>
      <w:r>
        <w:fldChar w:fldCharType="separate"/>
      </w:r>
      <w:r w:rsidR="00BA71E2">
        <w:rPr>
          <w:noProof/>
        </w:rPr>
        <w:t>1</w:t>
      </w:r>
      <w:r>
        <w:rPr>
          <w:noProof/>
        </w:rPr>
        <w:fldChar w:fldCharType="end"/>
      </w:r>
      <w:bookmarkEnd w:id="1"/>
      <w:r>
        <w:t xml:space="preserve">  eMTC Link Budget calculation for Set1 and Set 2 (UE-PC</w:t>
      </w:r>
      <w:r w:rsidR="00E526E2">
        <w:t>3</w:t>
      </w:r>
      <w:r>
        <w:t>)</w:t>
      </w:r>
      <w:r w:rsidR="009136A5">
        <w:t xml:space="preserve"> at beam center</w:t>
      </w:r>
    </w:p>
    <w:p w14:paraId="7AB5F367" w14:textId="77777777" w:rsidR="00E44590" w:rsidRDefault="00E44590" w:rsidP="002C2925">
      <w:pPr>
        <w:jc w:val="both"/>
        <w:rPr>
          <w:sz w:val="22"/>
          <w:lang w:val="en-GB" w:eastAsia="zh-CN"/>
        </w:rPr>
      </w:pPr>
    </w:p>
    <w:p w14:paraId="703AA595" w14:textId="51C349EB" w:rsidR="005D4A5A" w:rsidRDefault="002C2925" w:rsidP="002C2925">
      <w:pPr>
        <w:jc w:val="both"/>
        <w:rPr>
          <w:sz w:val="22"/>
          <w:lang w:val="en-GB" w:eastAsia="zh-CN"/>
        </w:rPr>
      </w:pPr>
      <w:r w:rsidRPr="002C2925">
        <w:rPr>
          <w:sz w:val="22"/>
          <w:lang w:val="en-GB" w:eastAsia="zh-CN"/>
        </w:rPr>
        <w:t xml:space="preserve">According to </w:t>
      </w:r>
      <w:r w:rsidR="000B6150">
        <w:rPr>
          <w:sz w:val="22"/>
          <w:lang w:val="en-GB" w:eastAsia="zh-CN"/>
        </w:rPr>
        <w:t xml:space="preserve">TR </w:t>
      </w:r>
      <w:r w:rsidR="004C3C5A">
        <w:rPr>
          <w:sz w:val="22"/>
          <w:lang w:val="en-GB" w:eastAsia="zh-CN"/>
        </w:rPr>
        <w:t xml:space="preserve">36.888 </w:t>
      </w:r>
      <w:r w:rsidR="00A35345">
        <w:rPr>
          <w:sz w:val="22"/>
          <w:lang w:val="en-GB" w:eastAsia="zh-CN"/>
        </w:rPr>
        <w:t>(</w:t>
      </w:r>
      <w:r w:rsidR="004C3C5A" w:rsidRPr="00086745">
        <w:rPr>
          <w:sz w:val="22"/>
          <w:lang w:val="en-GB" w:eastAsia="zh-CN"/>
        </w:rPr>
        <w:t>Table 5.2.1.2-2: MCL calculation for LTE FDD</w:t>
      </w:r>
      <w:r w:rsidR="00A35345" w:rsidRPr="00086745">
        <w:rPr>
          <w:sz w:val="22"/>
          <w:lang w:val="en-GB" w:eastAsia="zh-CN"/>
        </w:rPr>
        <w:t>)</w:t>
      </w:r>
      <w:r w:rsidR="004C3C5A" w:rsidDel="000B6150">
        <w:rPr>
          <w:sz w:val="22"/>
          <w:lang w:val="en-GB" w:eastAsia="zh-CN"/>
        </w:rPr>
        <w:t xml:space="preserve"> </w:t>
      </w:r>
      <w:r w:rsidR="00B31F50">
        <w:rPr>
          <w:sz w:val="22"/>
          <w:lang w:val="en-GB" w:eastAsia="zh-CN"/>
        </w:rPr>
        <w:fldChar w:fldCharType="begin"/>
      </w:r>
      <w:r w:rsidR="00B31F50">
        <w:rPr>
          <w:sz w:val="22"/>
          <w:lang w:val="en-GB" w:eastAsia="zh-CN"/>
        </w:rPr>
        <w:instrText xml:space="preserve"> REF _Ref51243098 \r \h </w:instrText>
      </w:r>
      <w:r w:rsidR="00B31F50">
        <w:rPr>
          <w:sz w:val="22"/>
          <w:lang w:val="en-GB" w:eastAsia="zh-CN"/>
        </w:rPr>
      </w:r>
      <w:r w:rsidR="00B31F50">
        <w:rPr>
          <w:sz w:val="22"/>
          <w:lang w:val="en-GB" w:eastAsia="zh-CN"/>
        </w:rPr>
        <w:fldChar w:fldCharType="separate"/>
      </w:r>
      <w:r w:rsidR="00B31F50">
        <w:rPr>
          <w:sz w:val="22"/>
          <w:lang w:val="en-GB" w:eastAsia="zh-CN"/>
        </w:rPr>
        <w:t>[5]</w:t>
      </w:r>
      <w:r w:rsidR="00B31F50">
        <w:rPr>
          <w:sz w:val="22"/>
          <w:lang w:val="en-GB" w:eastAsia="zh-CN"/>
        </w:rPr>
        <w:fldChar w:fldCharType="end"/>
      </w:r>
      <w:r w:rsidR="008C393B">
        <w:rPr>
          <w:sz w:val="22"/>
          <w:lang w:val="en-GB" w:eastAsia="zh-CN"/>
        </w:rPr>
        <w:t xml:space="preserve">; </w:t>
      </w:r>
      <w:r w:rsidRPr="002C2925">
        <w:rPr>
          <w:sz w:val="22"/>
          <w:lang w:val="en-GB" w:eastAsia="zh-CN"/>
        </w:rPr>
        <w:t xml:space="preserve">LTE </w:t>
      </w:r>
      <w:r w:rsidR="005D272F" w:rsidRPr="002C2925">
        <w:rPr>
          <w:sz w:val="22"/>
          <w:lang w:val="en-GB" w:eastAsia="zh-CN"/>
        </w:rPr>
        <w:t>requires</w:t>
      </w:r>
      <w:r w:rsidR="00EF55D2">
        <w:rPr>
          <w:sz w:val="22"/>
          <w:lang w:val="en-GB" w:eastAsia="zh-CN"/>
        </w:rPr>
        <w:t xml:space="preserve"> C</w:t>
      </w:r>
      <w:r w:rsidR="00EF55D2" w:rsidRPr="002C2925">
        <w:rPr>
          <w:sz w:val="22"/>
          <w:lang w:val="en-GB" w:eastAsia="zh-CN"/>
        </w:rPr>
        <w:t xml:space="preserve">NR </w:t>
      </w:r>
      <w:r w:rsidR="00903FC7">
        <w:rPr>
          <w:sz w:val="22"/>
          <w:lang w:val="en-GB" w:eastAsia="zh-CN"/>
        </w:rPr>
        <w:t>-</w:t>
      </w:r>
      <w:r w:rsidR="00C6368D">
        <w:rPr>
          <w:sz w:val="22"/>
          <w:lang w:val="en-GB" w:eastAsia="zh-CN"/>
        </w:rPr>
        <w:t>4</w:t>
      </w:r>
      <w:r w:rsidR="00EF55D2" w:rsidRPr="002C2925">
        <w:rPr>
          <w:sz w:val="22"/>
          <w:lang w:val="en-GB" w:eastAsia="zh-CN"/>
        </w:rPr>
        <w:t>dB</w:t>
      </w:r>
      <w:r w:rsidR="005D272F">
        <w:rPr>
          <w:sz w:val="22"/>
          <w:lang w:val="en-GB" w:eastAsia="zh-CN"/>
        </w:rPr>
        <w:t xml:space="preserve"> </w:t>
      </w:r>
      <w:r w:rsidR="00EF55D2">
        <w:rPr>
          <w:sz w:val="22"/>
          <w:lang w:val="en-GB" w:eastAsia="zh-CN"/>
        </w:rPr>
        <w:t xml:space="preserve">for </w:t>
      </w:r>
      <w:r w:rsidRPr="002C2925">
        <w:rPr>
          <w:sz w:val="22"/>
          <w:lang w:val="en-GB" w:eastAsia="zh-CN"/>
        </w:rPr>
        <w:t xml:space="preserve">PDSCH </w:t>
      </w:r>
      <w:r w:rsidR="00EF55D2">
        <w:rPr>
          <w:sz w:val="22"/>
          <w:lang w:val="en-GB" w:eastAsia="zh-CN"/>
        </w:rPr>
        <w:t xml:space="preserve">and </w:t>
      </w:r>
      <w:r w:rsidRPr="002C2925">
        <w:rPr>
          <w:sz w:val="22"/>
          <w:lang w:val="en-GB" w:eastAsia="zh-CN"/>
        </w:rPr>
        <w:t>-4.3dB for PUSCH</w:t>
      </w:r>
      <w:r w:rsidR="00C6368D">
        <w:rPr>
          <w:sz w:val="22"/>
          <w:lang w:val="en-GB" w:eastAsia="zh-CN"/>
        </w:rPr>
        <w:t xml:space="preserve">. </w:t>
      </w:r>
      <w:r w:rsidR="00354E81">
        <w:rPr>
          <w:sz w:val="22"/>
          <w:lang w:val="en-GB" w:eastAsia="zh-CN"/>
        </w:rPr>
        <w:t>These results</w:t>
      </w:r>
      <w:r w:rsidR="00C6368D">
        <w:rPr>
          <w:sz w:val="22"/>
          <w:lang w:val="en-GB" w:eastAsia="zh-CN"/>
        </w:rPr>
        <w:t xml:space="preserve"> were obtained using </w:t>
      </w:r>
      <w:r w:rsidR="00700961">
        <w:rPr>
          <w:sz w:val="22"/>
          <w:lang w:val="en-GB" w:eastAsia="zh-CN"/>
        </w:rPr>
        <w:t xml:space="preserve">EPA channel </w:t>
      </w:r>
      <w:r w:rsidR="00536957">
        <w:rPr>
          <w:sz w:val="22"/>
          <w:lang w:val="en-GB" w:eastAsia="zh-CN"/>
        </w:rPr>
        <w:t>1</w:t>
      </w:r>
      <w:r w:rsidR="00AA052D">
        <w:rPr>
          <w:sz w:val="22"/>
          <w:lang w:val="en-GB" w:eastAsia="zh-CN"/>
        </w:rPr>
        <w:t>Tx2Rx</w:t>
      </w:r>
      <w:r w:rsidR="00700961">
        <w:rPr>
          <w:sz w:val="22"/>
          <w:lang w:val="en-GB" w:eastAsia="zh-CN"/>
        </w:rPr>
        <w:t xml:space="preserve"> UE</w:t>
      </w:r>
      <w:r w:rsidR="00AA052D">
        <w:rPr>
          <w:sz w:val="22"/>
          <w:lang w:val="en-GB" w:eastAsia="zh-CN"/>
        </w:rPr>
        <w:t xml:space="preserve"> configuration</w:t>
      </w:r>
      <w:r w:rsidR="00B060B3">
        <w:rPr>
          <w:sz w:val="22"/>
          <w:lang w:val="en-GB" w:eastAsia="zh-CN"/>
        </w:rPr>
        <w:t>.</w:t>
      </w:r>
      <w:r w:rsidR="00AA052D">
        <w:rPr>
          <w:sz w:val="22"/>
          <w:lang w:val="en-GB" w:eastAsia="zh-CN"/>
        </w:rPr>
        <w:t xml:space="preserve"> </w:t>
      </w:r>
      <w:r w:rsidR="00B060B3">
        <w:rPr>
          <w:sz w:val="22"/>
          <w:lang w:val="en-GB" w:eastAsia="zh-CN"/>
        </w:rPr>
        <w:t>If</w:t>
      </w:r>
      <w:r w:rsidR="00F23B11">
        <w:rPr>
          <w:sz w:val="22"/>
          <w:lang w:val="en-GB" w:eastAsia="zh-CN"/>
        </w:rPr>
        <w:t xml:space="preserve"> we assume </w:t>
      </w:r>
      <w:r w:rsidR="000A7914">
        <w:rPr>
          <w:sz w:val="22"/>
          <w:lang w:val="en-GB" w:eastAsia="zh-CN"/>
        </w:rPr>
        <w:t xml:space="preserve">a </w:t>
      </w:r>
      <w:r w:rsidR="006C4057">
        <w:rPr>
          <w:sz w:val="22"/>
          <w:lang w:val="en-GB" w:eastAsia="zh-CN"/>
        </w:rPr>
        <w:t xml:space="preserve">further </w:t>
      </w:r>
      <w:r w:rsidR="000A7914">
        <w:rPr>
          <w:sz w:val="22"/>
          <w:lang w:val="en-GB" w:eastAsia="zh-CN"/>
        </w:rPr>
        <w:t xml:space="preserve">3dB loss for </w:t>
      </w:r>
      <w:r w:rsidR="006C4F69">
        <w:rPr>
          <w:sz w:val="22"/>
          <w:lang w:val="en-GB" w:eastAsia="zh-CN"/>
        </w:rPr>
        <w:t xml:space="preserve">the case </w:t>
      </w:r>
      <w:r w:rsidR="004B559D">
        <w:rPr>
          <w:sz w:val="22"/>
          <w:lang w:val="en-GB" w:eastAsia="zh-CN"/>
        </w:rPr>
        <w:t xml:space="preserve">of </w:t>
      </w:r>
      <w:r w:rsidR="00104FA3">
        <w:rPr>
          <w:sz w:val="22"/>
          <w:lang w:val="en-GB" w:eastAsia="zh-CN"/>
        </w:rPr>
        <w:t>1Tx</w:t>
      </w:r>
      <w:r w:rsidR="000A7914">
        <w:rPr>
          <w:sz w:val="22"/>
          <w:lang w:val="en-GB" w:eastAsia="zh-CN"/>
        </w:rPr>
        <w:t>1Rx</w:t>
      </w:r>
      <w:r w:rsidR="00C65522">
        <w:rPr>
          <w:sz w:val="22"/>
          <w:lang w:val="en-GB" w:eastAsia="zh-CN"/>
        </w:rPr>
        <w:t xml:space="preserve"> </w:t>
      </w:r>
      <w:r w:rsidR="00D50722">
        <w:rPr>
          <w:sz w:val="22"/>
          <w:lang w:val="en-GB" w:eastAsia="zh-CN"/>
        </w:rPr>
        <w:t xml:space="preserve">UE </w:t>
      </w:r>
      <w:r w:rsidR="00D678A3">
        <w:rPr>
          <w:sz w:val="22"/>
          <w:lang w:val="en-GB" w:eastAsia="zh-CN"/>
        </w:rPr>
        <w:t>in</w:t>
      </w:r>
      <w:r w:rsidR="00C65522">
        <w:rPr>
          <w:sz w:val="22"/>
          <w:lang w:val="en-GB" w:eastAsia="zh-CN"/>
        </w:rPr>
        <w:t xml:space="preserve"> a </w:t>
      </w:r>
      <w:r w:rsidR="00F23B11">
        <w:rPr>
          <w:sz w:val="22"/>
          <w:lang w:val="en-GB" w:eastAsia="zh-CN"/>
        </w:rPr>
        <w:t xml:space="preserve">LOS satellite </w:t>
      </w:r>
      <w:r w:rsidR="00354E81">
        <w:rPr>
          <w:sz w:val="22"/>
          <w:lang w:val="en-GB" w:eastAsia="zh-CN"/>
        </w:rPr>
        <w:t>channel</w:t>
      </w:r>
      <w:r w:rsidR="006C4057">
        <w:rPr>
          <w:sz w:val="22"/>
          <w:lang w:val="en-GB" w:eastAsia="zh-CN"/>
        </w:rPr>
        <w:t xml:space="preserve">, </w:t>
      </w:r>
      <w:r w:rsidR="00423500">
        <w:rPr>
          <w:sz w:val="22"/>
          <w:lang w:val="en-GB" w:eastAsia="zh-CN"/>
        </w:rPr>
        <w:t xml:space="preserve">the </w:t>
      </w:r>
      <w:r w:rsidR="000E29BE">
        <w:rPr>
          <w:sz w:val="22"/>
          <w:lang w:val="en-GB" w:eastAsia="zh-CN"/>
        </w:rPr>
        <w:t xml:space="preserve">equivalent </w:t>
      </w:r>
      <w:r w:rsidR="004B559D">
        <w:rPr>
          <w:sz w:val="22"/>
          <w:lang w:val="en-GB" w:eastAsia="zh-CN"/>
        </w:rPr>
        <w:t xml:space="preserve">minimum </w:t>
      </w:r>
      <w:r w:rsidR="00423500">
        <w:rPr>
          <w:sz w:val="22"/>
          <w:lang w:val="en-GB" w:eastAsia="zh-CN"/>
        </w:rPr>
        <w:t>CNR rise</w:t>
      </w:r>
      <w:r w:rsidR="000E29BE">
        <w:rPr>
          <w:sz w:val="22"/>
          <w:lang w:val="en-GB" w:eastAsia="zh-CN"/>
        </w:rPr>
        <w:t>s</w:t>
      </w:r>
      <w:r w:rsidR="00423500">
        <w:rPr>
          <w:sz w:val="22"/>
          <w:lang w:val="en-GB" w:eastAsia="zh-CN"/>
        </w:rPr>
        <w:t xml:space="preserve"> to</w:t>
      </w:r>
      <w:r w:rsidR="000C3959">
        <w:rPr>
          <w:sz w:val="22"/>
          <w:lang w:val="en-GB" w:eastAsia="zh-CN"/>
        </w:rPr>
        <w:t xml:space="preserve"> </w:t>
      </w:r>
      <w:r w:rsidR="007F5422">
        <w:rPr>
          <w:sz w:val="22"/>
          <w:lang w:val="en-GB" w:eastAsia="zh-CN"/>
        </w:rPr>
        <w:t>-</w:t>
      </w:r>
      <w:r w:rsidR="00B66778">
        <w:rPr>
          <w:sz w:val="22"/>
          <w:lang w:val="en-GB" w:eastAsia="zh-CN"/>
        </w:rPr>
        <w:t>1</w:t>
      </w:r>
      <w:r w:rsidR="007F5422">
        <w:rPr>
          <w:sz w:val="22"/>
          <w:lang w:val="en-GB" w:eastAsia="zh-CN"/>
        </w:rPr>
        <w:t>dB</w:t>
      </w:r>
      <w:r w:rsidR="006875A7">
        <w:rPr>
          <w:sz w:val="22"/>
          <w:lang w:val="en-GB" w:eastAsia="zh-CN"/>
        </w:rPr>
        <w:t xml:space="preserve"> </w:t>
      </w:r>
      <w:r w:rsidR="000553E6">
        <w:rPr>
          <w:sz w:val="22"/>
          <w:lang w:val="en-GB" w:eastAsia="zh-CN"/>
        </w:rPr>
        <w:t xml:space="preserve">for </w:t>
      </w:r>
      <w:r w:rsidR="007F5422">
        <w:rPr>
          <w:sz w:val="22"/>
          <w:lang w:val="en-GB" w:eastAsia="zh-CN"/>
        </w:rPr>
        <w:t>PDSCH and -1.3</w:t>
      </w:r>
      <w:r w:rsidR="00DF3DB9">
        <w:rPr>
          <w:sz w:val="22"/>
          <w:lang w:val="en-GB" w:eastAsia="zh-CN"/>
        </w:rPr>
        <w:t>dB</w:t>
      </w:r>
      <w:r w:rsidR="007F5422">
        <w:rPr>
          <w:sz w:val="22"/>
          <w:lang w:val="en-GB" w:eastAsia="zh-CN"/>
        </w:rPr>
        <w:t xml:space="preserve"> for PUSCH</w:t>
      </w:r>
      <w:r w:rsidR="00EF55D2">
        <w:rPr>
          <w:sz w:val="22"/>
          <w:lang w:val="en-GB" w:eastAsia="zh-CN"/>
        </w:rPr>
        <w:t xml:space="preserve">. </w:t>
      </w:r>
    </w:p>
    <w:p w14:paraId="3C556F2D" w14:textId="474B3812" w:rsidR="002C2925" w:rsidRPr="002C2925" w:rsidRDefault="005D4A5A" w:rsidP="002C2925">
      <w:pPr>
        <w:jc w:val="both"/>
        <w:rPr>
          <w:sz w:val="22"/>
          <w:lang w:val="en-GB" w:eastAsia="zh-CN"/>
        </w:rPr>
      </w:pPr>
      <w:r w:rsidRPr="002C2925">
        <w:rPr>
          <w:sz w:val="22"/>
          <w:lang w:val="en-GB" w:eastAsia="zh-CN"/>
        </w:rPr>
        <w:t>eMTC supports two coverage modes CE</w:t>
      </w:r>
      <w:r>
        <w:rPr>
          <w:sz w:val="22"/>
          <w:lang w:val="en-GB" w:eastAsia="zh-CN"/>
        </w:rPr>
        <w:t xml:space="preserve"> </w:t>
      </w:r>
      <w:r w:rsidRPr="002C2925">
        <w:rPr>
          <w:sz w:val="22"/>
          <w:lang w:val="en-GB" w:eastAsia="zh-CN"/>
        </w:rPr>
        <w:t>Mode A and CE</w:t>
      </w:r>
      <w:r>
        <w:rPr>
          <w:sz w:val="22"/>
          <w:lang w:val="en-GB" w:eastAsia="zh-CN"/>
        </w:rPr>
        <w:t xml:space="preserve"> </w:t>
      </w:r>
      <w:r w:rsidRPr="002C2925">
        <w:rPr>
          <w:sz w:val="22"/>
          <w:lang w:val="en-GB" w:eastAsia="zh-CN"/>
        </w:rPr>
        <w:t>Mode B</w:t>
      </w:r>
      <w:r>
        <w:rPr>
          <w:sz w:val="22"/>
          <w:lang w:val="en-GB" w:eastAsia="zh-CN"/>
        </w:rPr>
        <w:t>,</w:t>
      </w:r>
      <w:r w:rsidRPr="002C2925">
        <w:rPr>
          <w:sz w:val="22"/>
          <w:lang w:val="en-GB" w:eastAsia="zh-CN"/>
        </w:rPr>
        <w:t xml:space="preserve"> which </w:t>
      </w:r>
      <w:r w:rsidR="003E22DA">
        <w:rPr>
          <w:sz w:val="22"/>
          <w:lang w:val="en-GB" w:eastAsia="zh-CN"/>
        </w:rPr>
        <w:t>offer</w:t>
      </w:r>
      <w:r w:rsidR="003E22DA" w:rsidRPr="002C2925">
        <w:rPr>
          <w:sz w:val="22"/>
          <w:lang w:val="en-GB" w:eastAsia="zh-CN"/>
        </w:rPr>
        <w:t xml:space="preserve"> </w:t>
      </w:r>
      <w:r w:rsidRPr="002C2925">
        <w:rPr>
          <w:sz w:val="22"/>
          <w:lang w:val="en-GB" w:eastAsia="zh-CN"/>
        </w:rPr>
        <w:t>coverage enhancement</w:t>
      </w:r>
      <w:r w:rsidR="003E22DA">
        <w:rPr>
          <w:sz w:val="22"/>
          <w:lang w:val="en-GB" w:eastAsia="zh-CN"/>
        </w:rPr>
        <w:t>s</w:t>
      </w:r>
      <w:r w:rsidRPr="002C2925">
        <w:rPr>
          <w:sz w:val="22"/>
          <w:lang w:val="en-GB" w:eastAsia="zh-CN"/>
        </w:rPr>
        <w:t xml:space="preserve"> above LTE of </w:t>
      </w:r>
      <w:r w:rsidR="006645A6">
        <w:rPr>
          <w:sz w:val="22"/>
          <w:lang w:val="en-GB" w:eastAsia="zh-CN"/>
        </w:rPr>
        <w:t>~</w:t>
      </w:r>
      <w:r w:rsidRPr="002C2925">
        <w:rPr>
          <w:sz w:val="22"/>
          <w:lang w:val="en-GB" w:eastAsia="zh-CN"/>
        </w:rPr>
        <w:t xml:space="preserve">10dB and </w:t>
      </w:r>
      <w:r w:rsidR="006645A6">
        <w:rPr>
          <w:sz w:val="22"/>
          <w:lang w:val="en-GB" w:eastAsia="zh-CN"/>
        </w:rPr>
        <w:t>~</w:t>
      </w:r>
      <w:r w:rsidRPr="002C2925">
        <w:rPr>
          <w:sz w:val="22"/>
          <w:lang w:val="en-GB" w:eastAsia="zh-CN"/>
        </w:rPr>
        <w:t xml:space="preserve">20dB respectively. </w:t>
      </w:r>
      <w:r w:rsidR="008D55D0">
        <w:rPr>
          <w:sz w:val="22"/>
          <w:lang w:val="en-GB" w:eastAsia="zh-CN"/>
        </w:rPr>
        <w:t>Consequently</w:t>
      </w:r>
      <w:r w:rsidR="00D86D32">
        <w:rPr>
          <w:sz w:val="22"/>
          <w:lang w:val="en-GB" w:eastAsia="zh-CN"/>
        </w:rPr>
        <w:t>,</w:t>
      </w:r>
      <w:r w:rsidR="005744FF">
        <w:rPr>
          <w:sz w:val="22"/>
          <w:lang w:val="en-GB" w:eastAsia="zh-CN"/>
        </w:rPr>
        <w:t xml:space="preserve"> </w:t>
      </w:r>
      <w:r w:rsidR="007F48B2">
        <w:rPr>
          <w:sz w:val="22"/>
          <w:lang w:val="en-GB" w:eastAsia="zh-CN"/>
        </w:rPr>
        <w:t xml:space="preserve">and by applying these offsets </w:t>
      </w:r>
      <w:r w:rsidR="00226C6B">
        <w:rPr>
          <w:sz w:val="22"/>
          <w:lang w:val="en-GB" w:eastAsia="zh-CN"/>
        </w:rPr>
        <w:t xml:space="preserve">to the CNR calculation above, </w:t>
      </w:r>
      <w:r w:rsidR="005744FF">
        <w:rPr>
          <w:sz w:val="22"/>
          <w:lang w:val="en-GB" w:eastAsia="zh-CN"/>
        </w:rPr>
        <w:t>we can assume that eMTC</w:t>
      </w:r>
      <w:r w:rsidR="002C2925" w:rsidRPr="002C2925">
        <w:rPr>
          <w:sz w:val="22"/>
          <w:lang w:val="en-GB" w:eastAsia="zh-CN"/>
        </w:rPr>
        <w:t xml:space="preserve"> CE</w:t>
      </w:r>
      <w:r w:rsidR="00F20CD9">
        <w:rPr>
          <w:sz w:val="22"/>
          <w:lang w:val="en-GB" w:eastAsia="zh-CN"/>
        </w:rPr>
        <w:t xml:space="preserve"> </w:t>
      </w:r>
      <w:r w:rsidR="002C2925" w:rsidRPr="002C2925">
        <w:rPr>
          <w:sz w:val="22"/>
          <w:lang w:val="en-GB" w:eastAsia="zh-CN"/>
        </w:rPr>
        <w:t xml:space="preserve">Mode A </w:t>
      </w:r>
      <w:r w:rsidR="00E1073C">
        <w:rPr>
          <w:sz w:val="22"/>
          <w:lang w:val="en-GB" w:eastAsia="zh-CN"/>
        </w:rPr>
        <w:t>should</w:t>
      </w:r>
      <w:r w:rsidR="00E1073C" w:rsidRPr="002C2925">
        <w:rPr>
          <w:sz w:val="22"/>
          <w:lang w:val="en-GB" w:eastAsia="zh-CN"/>
        </w:rPr>
        <w:t xml:space="preserve"> </w:t>
      </w:r>
      <w:r w:rsidR="002C2925" w:rsidRPr="002C2925">
        <w:rPr>
          <w:sz w:val="22"/>
          <w:lang w:val="en-GB" w:eastAsia="zh-CN"/>
        </w:rPr>
        <w:t xml:space="preserve">work sufficiently </w:t>
      </w:r>
      <w:r w:rsidR="008C393B">
        <w:rPr>
          <w:sz w:val="22"/>
          <w:lang w:val="en-GB" w:eastAsia="zh-CN"/>
        </w:rPr>
        <w:t xml:space="preserve">well </w:t>
      </w:r>
      <w:r w:rsidR="00226C6B">
        <w:rPr>
          <w:sz w:val="22"/>
          <w:lang w:val="en-GB" w:eastAsia="zh-CN"/>
        </w:rPr>
        <w:t>is</w:t>
      </w:r>
      <w:r w:rsidR="00226C6B" w:rsidRPr="002C2925">
        <w:rPr>
          <w:sz w:val="22"/>
          <w:lang w:val="en-GB" w:eastAsia="zh-CN"/>
        </w:rPr>
        <w:t xml:space="preserve"> </w:t>
      </w:r>
      <w:r w:rsidR="00996A1D">
        <w:rPr>
          <w:sz w:val="22"/>
          <w:lang w:val="en-GB" w:eastAsia="zh-CN"/>
        </w:rPr>
        <w:t>C</w:t>
      </w:r>
      <w:r w:rsidR="002C2925" w:rsidRPr="002C2925">
        <w:rPr>
          <w:sz w:val="22"/>
          <w:lang w:val="en-GB" w:eastAsia="zh-CN"/>
        </w:rPr>
        <w:t xml:space="preserve">NR </w:t>
      </w:r>
      <w:r w:rsidR="00226C6B">
        <w:rPr>
          <w:sz w:val="22"/>
          <w:lang w:val="en-GB" w:eastAsia="zh-CN"/>
        </w:rPr>
        <w:t>exceed</w:t>
      </w:r>
      <w:r w:rsidR="008E1F06">
        <w:rPr>
          <w:sz w:val="22"/>
          <w:lang w:val="en-GB" w:eastAsia="zh-CN"/>
        </w:rPr>
        <w:t>ing</w:t>
      </w:r>
      <w:r w:rsidR="002C2925" w:rsidRPr="002C2925">
        <w:rPr>
          <w:sz w:val="22"/>
          <w:lang w:val="en-GB" w:eastAsia="zh-CN"/>
        </w:rPr>
        <w:t xml:space="preserve"> </w:t>
      </w:r>
      <w:r w:rsidR="005744FF">
        <w:rPr>
          <w:sz w:val="22"/>
          <w:lang w:val="en-GB" w:eastAsia="zh-CN"/>
        </w:rPr>
        <w:t>-</w:t>
      </w:r>
      <w:r w:rsidR="002C2925" w:rsidRPr="002C2925">
        <w:rPr>
          <w:sz w:val="22"/>
          <w:lang w:val="en-GB" w:eastAsia="zh-CN"/>
        </w:rPr>
        <w:t>1</w:t>
      </w:r>
      <w:r w:rsidR="00E1073C">
        <w:rPr>
          <w:sz w:val="22"/>
          <w:lang w:val="en-GB" w:eastAsia="zh-CN"/>
        </w:rPr>
        <w:t>1</w:t>
      </w:r>
      <w:r w:rsidR="002C2925" w:rsidRPr="002C2925">
        <w:rPr>
          <w:sz w:val="22"/>
          <w:lang w:val="en-GB" w:eastAsia="zh-CN"/>
        </w:rPr>
        <w:t>dB</w:t>
      </w:r>
      <w:r w:rsidR="00171AD8">
        <w:rPr>
          <w:sz w:val="22"/>
          <w:lang w:val="en-GB" w:eastAsia="zh-CN"/>
        </w:rPr>
        <w:t xml:space="preserve"> </w:t>
      </w:r>
      <w:r w:rsidR="006C07AC">
        <w:rPr>
          <w:sz w:val="22"/>
          <w:lang w:val="en-GB" w:eastAsia="zh-CN"/>
        </w:rPr>
        <w:t>in</w:t>
      </w:r>
      <w:r w:rsidR="002C2925" w:rsidRPr="002C2925">
        <w:rPr>
          <w:sz w:val="22"/>
          <w:lang w:val="en-GB" w:eastAsia="zh-CN"/>
        </w:rPr>
        <w:t xml:space="preserve"> both </w:t>
      </w:r>
      <w:r w:rsidR="0084033E">
        <w:rPr>
          <w:sz w:val="22"/>
          <w:lang w:val="en-GB" w:eastAsia="zh-CN"/>
        </w:rPr>
        <w:t>u</w:t>
      </w:r>
      <w:r w:rsidR="002C2925" w:rsidRPr="002C2925">
        <w:rPr>
          <w:sz w:val="22"/>
          <w:lang w:val="en-GB" w:eastAsia="zh-CN"/>
        </w:rPr>
        <w:t xml:space="preserve">plink and </w:t>
      </w:r>
      <w:r w:rsidR="00D84F79">
        <w:rPr>
          <w:sz w:val="22"/>
          <w:lang w:val="en-GB" w:eastAsia="zh-CN"/>
        </w:rPr>
        <w:t>d</w:t>
      </w:r>
      <w:r w:rsidR="00D84F79" w:rsidRPr="002C2925">
        <w:rPr>
          <w:sz w:val="22"/>
          <w:lang w:val="en-GB" w:eastAsia="zh-CN"/>
        </w:rPr>
        <w:t>ownlink</w:t>
      </w:r>
      <w:r w:rsidR="00D84F79">
        <w:rPr>
          <w:sz w:val="22"/>
          <w:lang w:val="en-GB" w:eastAsia="zh-CN"/>
        </w:rPr>
        <w:t xml:space="preserve"> </w:t>
      </w:r>
      <w:r w:rsidR="0019185E">
        <w:rPr>
          <w:sz w:val="22"/>
          <w:lang w:val="en-GB" w:eastAsia="zh-CN"/>
        </w:rPr>
        <w:t>(</w:t>
      </w:r>
      <w:r w:rsidR="00025FC9">
        <w:rPr>
          <w:sz w:val="22"/>
          <w:lang w:val="en-GB" w:eastAsia="zh-CN"/>
        </w:rPr>
        <w:t xml:space="preserve">-1dB </w:t>
      </w:r>
      <w:r w:rsidR="00645ABB">
        <w:rPr>
          <w:sz w:val="22"/>
          <w:lang w:val="en-GB" w:eastAsia="zh-CN"/>
        </w:rPr>
        <w:t xml:space="preserve">minus a further </w:t>
      </w:r>
      <w:r w:rsidR="0019185E">
        <w:rPr>
          <w:sz w:val="22"/>
          <w:lang w:val="en-GB" w:eastAsia="zh-CN"/>
        </w:rPr>
        <w:t xml:space="preserve">10dB </w:t>
      </w:r>
      <w:r w:rsidR="008E1F06">
        <w:rPr>
          <w:sz w:val="22"/>
          <w:lang w:val="en-GB" w:eastAsia="zh-CN"/>
        </w:rPr>
        <w:t xml:space="preserve">for </w:t>
      </w:r>
      <w:r w:rsidR="0019185E">
        <w:rPr>
          <w:sz w:val="22"/>
          <w:lang w:val="en-GB" w:eastAsia="zh-CN"/>
        </w:rPr>
        <w:t>coverage extension)</w:t>
      </w:r>
      <w:r w:rsidR="002C2925" w:rsidRPr="002C2925">
        <w:rPr>
          <w:sz w:val="22"/>
          <w:lang w:val="en-GB" w:eastAsia="zh-CN"/>
        </w:rPr>
        <w:t>.</w:t>
      </w:r>
      <w:r w:rsidR="006B2C13">
        <w:rPr>
          <w:sz w:val="22"/>
          <w:lang w:val="en-GB" w:eastAsia="zh-CN"/>
        </w:rPr>
        <w:t xml:space="preserve"> </w:t>
      </w:r>
      <w:r w:rsidR="00252B11">
        <w:rPr>
          <w:sz w:val="22"/>
          <w:lang w:val="en-GB" w:eastAsia="zh-CN"/>
        </w:rPr>
        <w:t xml:space="preserve">The </w:t>
      </w:r>
      <w:r w:rsidR="00226C6B">
        <w:rPr>
          <w:sz w:val="22"/>
          <w:lang w:val="en-GB" w:eastAsia="zh-CN"/>
        </w:rPr>
        <w:t>l</w:t>
      </w:r>
      <w:r w:rsidR="00252B11">
        <w:rPr>
          <w:sz w:val="22"/>
          <w:lang w:val="en-GB" w:eastAsia="zh-CN"/>
        </w:rPr>
        <w:t xml:space="preserve">ink budget </w:t>
      </w:r>
      <w:r w:rsidR="00C14018">
        <w:rPr>
          <w:sz w:val="22"/>
          <w:lang w:val="en-GB" w:eastAsia="zh-CN"/>
        </w:rPr>
        <w:t xml:space="preserve">in </w:t>
      </w:r>
      <w:r w:rsidR="00C14018" w:rsidRPr="00545AF2">
        <w:rPr>
          <w:sz w:val="22"/>
          <w:lang w:eastAsia="zh-CN"/>
        </w:rPr>
        <w:fldChar w:fldCharType="begin"/>
      </w:r>
      <w:r w:rsidR="00C14018" w:rsidRPr="00545AF2">
        <w:rPr>
          <w:sz w:val="22"/>
          <w:lang w:eastAsia="zh-CN"/>
        </w:rPr>
        <w:instrText xml:space="preserve"> REF _Ref70415959 \h  \* MERGEFORMAT </w:instrText>
      </w:r>
      <w:r w:rsidR="00C14018" w:rsidRPr="00545AF2">
        <w:rPr>
          <w:sz w:val="22"/>
          <w:lang w:eastAsia="zh-CN"/>
        </w:rPr>
      </w:r>
      <w:r w:rsidR="00C14018" w:rsidRPr="00545AF2">
        <w:rPr>
          <w:sz w:val="22"/>
          <w:lang w:eastAsia="zh-CN"/>
        </w:rPr>
        <w:fldChar w:fldCharType="separate"/>
      </w:r>
      <w:r w:rsidR="00BA71E2" w:rsidRPr="00BA71E2">
        <w:rPr>
          <w:sz w:val="22"/>
          <w:lang w:eastAsia="zh-CN"/>
        </w:rPr>
        <w:t>Table 1</w:t>
      </w:r>
      <w:r w:rsidR="00C14018" w:rsidRPr="00545AF2">
        <w:rPr>
          <w:sz w:val="22"/>
          <w:lang w:eastAsia="zh-CN"/>
        </w:rPr>
        <w:fldChar w:fldCharType="end"/>
      </w:r>
      <w:r w:rsidR="00C14018">
        <w:rPr>
          <w:sz w:val="22"/>
          <w:lang w:eastAsia="zh-CN"/>
        </w:rPr>
        <w:t xml:space="preserve"> </w:t>
      </w:r>
      <w:r w:rsidR="00252B11">
        <w:rPr>
          <w:sz w:val="22"/>
          <w:lang w:val="en-GB" w:eastAsia="zh-CN"/>
        </w:rPr>
        <w:t>for</w:t>
      </w:r>
      <w:r w:rsidR="002C2925" w:rsidRPr="002C2925">
        <w:rPr>
          <w:sz w:val="22"/>
          <w:lang w:val="en-GB" w:eastAsia="zh-CN"/>
        </w:rPr>
        <w:t xml:space="preserve"> </w:t>
      </w:r>
      <w:r w:rsidR="00252B11">
        <w:rPr>
          <w:sz w:val="22"/>
          <w:lang w:val="en-GB" w:eastAsia="zh-CN"/>
        </w:rPr>
        <w:t>LEO</w:t>
      </w:r>
      <w:r w:rsidR="00F4608D">
        <w:rPr>
          <w:sz w:val="22"/>
          <w:lang w:val="en-GB" w:eastAsia="zh-CN"/>
        </w:rPr>
        <w:t xml:space="preserve">-600/1200 </w:t>
      </w:r>
      <w:r w:rsidR="002C2925" w:rsidRPr="002C2925">
        <w:rPr>
          <w:sz w:val="22"/>
          <w:lang w:val="en-GB" w:eastAsia="zh-CN"/>
        </w:rPr>
        <w:t>configuration</w:t>
      </w:r>
      <w:r w:rsidR="00C14018">
        <w:rPr>
          <w:sz w:val="22"/>
          <w:lang w:val="en-GB" w:eastAsia="zh-CN"/>
        </w:rPr>
        <w:t>s</w:t>
      </w:r>
      <w:r w:rsidR="002C2925" w:rsidRPr="002C2925">
        <w:rPr>
          <w:sz w:val="22"/>
          <w:lang w:val="en-GB" w:eastAsia="zh-CN"/>
        </w:rPr>
        <w:t xml:space="preserve"> for Set1 and Set2 </w:t>
      </w:r>
      <w:r w:rsidR="006B2C13">
        <w:rPr>
          <w:sz w:val="22"/>
          <w:lang w:val="en-GB" w:eastAsia="zh-CN"/>
        </w:rPr>
        <w:t xml:space="preserve">highlights </w:t>
      </w:r>
      <w:r w:rsidR="00B51296">
        <w:rPr>
          <w:sz w:val="22"/>
          <w:lang w:val="en-GB" w:eastAsia="zh-CN"/>
        </w:rPr>
        <w:t>where this is condition is true</w:t>
      </w:r>
      <w:r w:rsidR="00226C6B">
        <w:rPr>
          <w:sz w:val="22"/>
          <w:lang w:val="en-GB" w:eastAsia="zh-CN"/>
        </w:rPr>
        <w:t>,</w:t>
      </w:r>
      <w:r w:rsidR="00B51296">
        <w:rPr>
          <w:sz w:val="22"/>
          <w:lang w:val="en-GB" w:eastAsia="zh-CN"/>
        </w:rPr>
        <w:t xml:space="preserve"> </w:t>
      </w:r>
      <w:r w:rsidR="00645ABB">
        <w:rPr>
          <w:sz w:val="22"/>
          <w:lang w:val="en-GB" w:eastAsia="zh-CN"/>
        </w:rPr>
        <w:t>at</w:t>
      </w:r>
      <w:r w:rsidR="00B51296">
        <w:rPr>
          <w:sz w:val="22"/>
          <w:lang w:val="en-GB" w:eastAsia="zh-CN"/>
        </w:rPr>
        <w:t xml:space="preserve"> the beam centre. Note there is </w:t>
      </w:r>
      <w:r w:rsidR="006A615F">
        <w:rPr>
          <w:sz w:val="22"/>
          <w:lang w:val="en-GB" w:eastAsia="zh-CN"/>
        </w:rPr>
        <w:t>a margin</w:t>
      </w:r>
      <w:r w:rsidR="008C4EDF">
        <w:rPr>
          <w:sz w:val="22"/>
          <w:lang w:val="en-GB" w:eastAsia="zh-CN"/>
        </w:rPr>
        <w:t xml:space="preserve"> of</w:t>
      </w:r>
      <w:r w:rsidR="006A615F">
        <w:rPr>
          <w:sz w:val="22"/>
          <w:lang w:val="en-GB" w:eastAsia="zh-CN"/>
        </w:rPr>
        <w:t xml:space="preserve"> </w:t>
      </w:r>
      <w:r w:rsidR="00E20353">
        <w:rPr>
          <w:sz w:val="22"/>
          <w:lang w:val="en-GB" w:eastAsia="zh-CN"/>
        </w:rPr>
        <w:t>~</w:t>
      </w:r>
      <w:r w:rsidR="006A615F">
        <w:rPr>
          <w:sz w:val="22"/>
          <w:lang w:val="en-GB" w:eastAsia="zh-CN"/>
        </w:rPr>
        <w:t xml:space="preserve">3dB </w:t>
      </w:r>
      <w:r w:rsidR="008C4EDF">
        <w:rPr>
          <w:sz w:val="22"/>
          <w:lang w:val="en-GB" w:eastAsia="zh-CN"/>
        </w:rPr>
        <w:t xml:space="preserve">or more, </w:t>
      </w:r>
      <w:r w:rsidR="006A615F">
        <w:rPr>
          <w:sz w:val="22"/>
          <w:lang w:val="en-GB" w:eastAsia="zh-CN"/>
        </w:rPr>
        <w:t xml:space="preserve">which </w:t>
      </w:r>
      <w:r w:rsidR="008C4EDF">
        <w:rPr>
          <w:sz w:val="22"/>
          <w:lang w:val="en-GB" w:eastAsia="zh-CN"/>
        </w:rPr>
        <w:t xml:space="preserve">will </w:t>
      </w:r>
      <w:r w:rsidR="00B51296">
        <w:rPr>
          <w:sz w:val="22"/>
          <w:lang w:val="en-GB" w:eastAsia="zh-CN"/>
        </w:rPr>
        <w:t xml:space="preserve">also </w:t>
      </w:r>
      <w:r w:rsidR="006A615F">
        <w:rPr>
          <w:sz w:val="22"/>
          <w:lang w:val="en-GB" w:eastAsia="zh-CN"/>
        </w:rPr>
        <w:t xml:space="preserve">cater for </w:t>
      </w:r>
      <w:r w:rsidR="003E0924">
        <w:rPr>
          <w:sz w:val="22"/>
          <w:lang w:val="en-GB" w:eastAsia="zh-CN"/>
        </w:rPr>
        <w:t xml:space="preserve">additional losses in </w:t>
      </w:r>
      <w:r w:rsidR="006A615F">
        <w:rPr>
          <w:sz w:val="22"/>
          <w:lang w:val="en-GB" w:eastAsia="zh-CN"/>
        </w:rPr>
        <w:t xml:space="preserve">cell edge </w:t>
      </w:r>
      <w:r w:rsidR="00E20353">
        <w:rPr>
          <w:sz w:val="22"/>
          <w:lang w:val="en-GB" w:eastAsia="zh-CN"/>
        </w:rPr>
        <w:t>scenarios.</w:t>
      </w:r>
    </w:p>
    <w:p w14:paraId="6E5721B1" w14:textId="3C5CB10A" w:rsidR="006E589C" w:rsidRPr="005D5A03" w:rsidRDefault="00B77D27" w:rsidP="005D5A03">
      <w:pPr>
        <w:pStyle w:val="Observation"/>
        <w:ind w:left="1701" w:hanging="1701"/>
        <w:rPr>
          <w:sz w:val="22"/>
        </w:rPr>
      </w:pPr>
      <w:bookmarkStart w:id="2" w:name="_Toc68606335"/>
      <w:r w:rsidRPr="005D5A03">
        <w:rPr>
          <w:sz w:val="22"/>
        </w:rPr>
        <w:t>The eMTC NGSO satellites parameters for Set1 and Set2 link budget will be adequate for supporting eMTC CE</w:t>
      </w:r>
      <w:r w:rsidR="00F20CD9">
        <w:rPr>
          <w:sz w:val="22"/>
        </w:rPr>
        <w:t xml:space="preserve"> </w:t>
      </w:r>
      <w:r w:rsidRPr="005D5A03">
        <w:rPr>
          <w:sz w:val="22"/>
        </w:rPr>
        <w:t>Mode A</w:t>
      </w:r>
      <w:r w:rsidR="008C4EDF">
        <w:rPr>
          <w:sz w:val="22"/>
        </w:rPr>
        <w:t>,</w:t>
      </w:r>
      <w:r w:rsidRPr="005D5A03">
        <w:rPr>
          <w:sz w:val="22"/>
        </w:rPr>
        <w:t xml:space="preserve"> which will unlock the delivery of high-value IoT use cases.</w:t>
      </w:r>
      <w:bookmarkEnd w:id="2"/>
    </w:p>
    <w:p w14:paraId="26C43121" w14:textId="5A3A8D4D" w:rsidR="006E589C" w:rsidRPr="00CE0424" w:rsidRDefault="002635BD" w:rsidP="006E589C">
      <w:pPr>
        <w:pStyle w:val="Heading1"/>
      </w:pPr>
      <w:r>
        <w:lastRenderedPageBreak/>
        <w:t>Summary and c</w:t>
      </w:r>
      <w:r w:rsidR="006E589C" w:rsidRPr="00CE0424">
        <w:t>onclusion</w:t>
      </w:r>
    </w:p>
    <w:p w14:paraId="4F9D82F3" w14:textId="191BA226" w:rsidR="006E589C" w:rsidRPr="00E43A45" w:rsidRDefault="002635BD" w:rsidP="006E589C">
      <w:pPr>
        <w:pStyle w:val="BodyText"/>
        <w:rPr>
          <w:sz w:val="22"/>
        </w:rPr>
      </w:pPr>
      <w:r w:rsidRPr="00E43A45">
        <w:rPr>
          <w:sz w:val="22"/>
        </w:rPr>
        <w:t xml:space="preserve">      </w:t>
      </w:r>
    </w:p>
    <w:p w14:paraId="682A2BD3" w14:textId="6F306651" w:rsidR="00DC1881" w:rsidRPr="00DC1881" w:rsidRDefault="00006243" w:rsidP="00B0222B">
      <w:pPr>
        <w:pStyle w:val="Observation"/>
        <w:numPr>
          <w:ilvl w:val="0"/>
          <w:numId w:val="38"/>
        </w:numPr>
        <w:ind w:left="1701" w:hanging="1701"/>
        <w:rPr>
          <w:sz w:val="22"/>
        </w:rPr>
      </w:pPr>
      <w:r w:rsidRPr="00DC1881">
        <w:rPr>
          <w:sz w:val="22"/>
        </w:rPr>
        <w:t>There is a significant market opportunity for the broad range of IoT opportunities to be supported by satellite operations that cover areas devoid of communication opportunities. It is important to the satellite industry that the first NTN Rel17 provides a solid foothold to assist the development of both high value IoT market segments</w:t>
      </w:r>
      <w:r w:rsidR="00B0222B">
        <w:rPr>
          <w:sz w:val="22"/>
        </w:rPr>
        <w:t>,</w:t>
      </w:r>
      <w:r w:rsidRPr="00DC1881">
        <w:rPr>
          <w:sz w:val="22"/>
        </w:rPr>
        <w:t xml:space="preserve"> in addition </w:t>
      </w:r>
      <w:r w:rsidR="00B0222B">
        <w:rPr>
          <w:sz w:val="22"/>
        </w:rPr>
        <w:t>to</w:t>
      </w:r>
      <w:r w:rsidRPr="00DC1881">
        <w:rPr>
          <w:sz w:val="22"/>
        </w:rPr>
        <w:t xml:space="preserve"> low data rate infrequent packet data applications.</w:t>
      </w:r>
    </w:p>
    <w:p w14:paraId="539E15A7" w14:textId="77777777" w:rsidR="00C64D13" w:rsidRPr="00DC1881" w:rsidRDefault="00C64D13" w:rsidP="00C64D13">
      <w:pPr>
        <w:pStyle w:val="Observation"/>
        <w:numPr>
          <w:ilvl w:val="0"/>
          <w:numId w:val="0"/>
        </w:numPr>
        <w:ind w:left="360" w:hanging="360"/>
        <w:rPr>
          <w:sz w:val="22"/>
        </w:rPr>
      </w:pPr>
    </w:p>
    <w:p w14:paraId="524AEA91" w14:textId="151C7F6D" w:rsidR="00DC1881" w:rsidRDefault="00006243" w:rsidP="00DC1881">
      <w:pPr>
        <w:pStyle w:val="Observation"/>
        <w:ind w:left="1701" w:hanging="1701"/>
        <w:rPr>
          <w:sz w:val="22"/>
        </w:rPr>
      </w:pPr>
      <w:r w:rsidRPr="005D5A03">
        <w:rPr>
          <w:sz w:val="22"/>
        </w:rPr>
        <w:t>The eMTC NGSO satellites parameters for Set1 and Set2 link budget will be adequate for supporting eMTC CE-Mode A which will unlock the delivery of high-value IoT use cases.</w:t>
      </w:r>
    </w:p>
    <w:p w14:paraId="0151404F" w14:textId="77777777" w:rsidR="00E96EB4" w:rsidRPr="00DC1881" w:rsidRDefault="00E96EB4" w:rsidP="00E96EB4">
      <w:pPr>
        <w:pStyle w:val="Observation"/>
        <w:numPr>
          <w:ilvl w:val="0"/>
          <w:numId w:val="0"/>
        </w:numPr>
        <w:ind w:left="1701"/>
        <w:rPr>
          <w:sz w:val="22"/>
        </w:rPr>
      </w:pPr>
    </w:p>
    <w:p w14:paraId="2AF8AF5A" w14:textId="79579237" w:rsidR="00004E93" w:rsidRPr="00E96EB4" w:rsidRDefault="00004E93" w:rsidP="001D6327">
      <w:pPr>
        <w:pStyle w:val="BodyText"/>
        <w:rPr>
          <w:b/>
          <w:bCs/>
          <w:sz w:val="22"/>
        </w:rPr>
      </w:pPr>
      <w:r w:rsidRPr="00004E93">
        <w:rPr>
          <w:b/>
          <w:bCs/>
          <w:sz w:val="22"/>
          <w:lang w:eastAsia="ja-JP"/>
        </w:rPr>
        <w:t xml:space="preserve">Conclusion: </w:t>
      </w:r>
      <w:r w:rsidR="00E96EB4">
        <w:rPr>
          <w:b/>
          <w:bCs/>
          <w:sz w:val="22"/>
          <w:lang w:eastAsia="ja-JP"/>
        </w:rPr>
        <w:t xml:space="preserve"> </w:t>
      </w:r>
      <w:r w:rsidRPr="00CF1023">
        <w:rPr>
          <w:sz w:val="22"/>
          <w:lang w:eastAsia="ja-JP"/>
        </w:rPr>
        <w:t>Based on the observations in this paper we can conclude that the Rel17 assumptions for Set1 and Set2 NGSO satellite parameters are sufficient to unlock high value IoT use-cases based on eMTC CE Mode A.</w:t>
      </w:r>
      <w:r w:rsidRPr="00E96EB4">
        <w:rPr>
          <w:b/>
          <w:bCs/>
          <w:sz w:val="22"/>
        </w:rPr>
        <w:t xml:space="preserve">    </w:t>
      </w:r>
    </w:p>
    <w:p w14:paraId="2FA15244" w14:textId="477CFD58" w:rsidR="006E589C" w:rsidRPr="003C67C5" w:rsidRDefault="006E589C" w:rsidP="006E589C">
      <w:pPr>
        <w:pStyle w:val="BodyText"/>
        <w:rPr>
          <w:b/>
          <w:bCs/>
          <w:sz w:val="22"/>
        </w:rPr>
      </w:pPr>
    </w:p>
    <w:p w14:paraId="5ADDC3E8" w14:textId="77777777" w:rsidR="006E589C" w:rsidRPr="00CE0424" w:rsidRDefault="006E589C" w:rsidP="006E589C">
      <w:pPr>
        <w:pStyle w:val="Heading1"/>
      </w:pPr>
      <w:bookmarkStart w:id="3" w:name="_In-sequence_SDU_delivery"/>
      <w:bookmarkEnd w:id="3"/>
      <w:r w:rsidRPr="00CE0424">
        <w:t>References</w:t>
      </w:r>
    </w:p>
    <w:p w14:paraId="410A4B40" w14:textId="2B68E71C" w:rsidR="00F06AB4" w:rsidRPr="00F06AB4" w:rsidRDefault="00F06AB4" w:rsidP="00F06AB4">
      <w:pPr>
        <w:pStyle w:val="Reference"/>
        <w:rPr>
          <w:sz w:val="22"/>
        </w:rPr>
      </w:pPr>
      <w:bookmarkStart w:id="4" w:name="_Ref71204014"/>
      <w:bookmarkStart w:id="5" w:name="_Ref49798330"/>
      <w:bookmarkStart w:id="6" w:name="_Ref174151459"/>
      <w:bookmarkStart w:id="7" w:name="_Ref189809556"/>
      <w:r w:rsidRPr="00F06AB4">
        <w:rPr>
          <w:sz w:val="22"/>
        </w:rPr>
        <w:t xml:space="preserve">GSMA </w:t>
      </w:r>
      <w:r w:rsidRPr="00B0222B">
        <w:rPr>
          <w:sz w:val="22"/>
        </w:rPr>
        <w:t>– IoT connections forecast: The rise of enterprise</w:t>
      </w:r>
      <w:bookmarkEnd w:id="4"/>
    </w:p>
    <w:p w14:paraId="0CA197EB" w14:textId="4046E843" w:rsidR="00BB2708" w:rsidRDefault="00F06AB4" w:rsidP="00F06AB4">
      <w:pPr>
        <w:pStyle w:val="Reference"/>
        <w:rPr>
          <w:sz w:val="22"/>
        </w:rPr>
      </w:pPr>
      <w:bookmarkStart w:id="8" w:name="_Ref71204090"/>
      <w:r w:rsidRPr="00F06AB4">
        <w:rPr>
          <w:sz w:val="22"/>
        </w:rPr>
        <w:t xml:space="preserve">GSMA – </w:t>
      </w:r>
      <w:r w:rsidRPr="00B0222B">
        <w:rPr>
          <w:sz w:val="22"/>
        </w:rPr>
        <w:t>Enterprises speak: IoT gets real</w:t>
      </w:r>
      <w:bookmarkEnd w:id="8"/>
    </w:p>
    <w:p w14:paraId="7B493671" w14:textId="6C9B7445" w:rsidR="0061084A" w:rsidRDefault="0061084A" w:rsidP="00F06AB4">
      <w:pPr>
        <w:pStyle w:val="Reference"/>
        <w:rPr>
          <w:sz w:val="22"/>
        </w:rPr>
      </w:pPr>
      <w:bookmarkStart w:id="9" w:name="_Ref71204134"/>
      <w:r w:rsidRPr="0061084A">
        <w:rPr>
          <w:sz w:val="22"/>
        </w:rPr>
        <w:t>GSMA – IoT Revenue: State of the market 2020</w:t>
      </w:r>
      <w:bookmarkEnd w:id="9"/>
    </w:p>
    <w:p w14:paraId="22C8641E" w14:textId="4C0623EE" w:rsidR="002C1C23" w:rsidRPr="002C1C23" w:rsidRDefault="002C1C23" w:rsidP="002C1C23">
      <w:pPr>
        <w:pStyle w:val="Reference"/>
        <w:rPr>
          <w:sz w:val="22"/>
        </w:rPr>
      </w:pPr>
      <w:bookmarkStart w:id="10" w:name="_Ref71204205"/>
      <w:r w:rsidRPr="00D32580">
        <w:rPr>
          <w:sz w:val="22"/>
        </w:rPr>
        <w:t>R1-2103962,</w:t>
      </w:r>
      <w:r w:rsidR="00B0222B">
        <w:rPr>
          <w:sz w:val="22"/>
        </w:rPr>
        <w:t xml:space="preserve"> </w:t>
      </w:r>
      <w:r w:rsidRPr="00D32580">
        <w:rPr>
          <w:sz w:val="22"/>
        </w:rPr>
        <w:t>Summary #3 of AI 8.15.1 Scenarios applicable to NB-IoT/eMTC.</w:t>
      </w:r>
      <w:bookmarkEnd w:id="10"/>
    </w:p>
    <w:p w14:paraId="170B250D" w14:textId="6477BCD0" w:rsidR="0025554D" w:rsidRDefault="005244CC" w:rsidP="005D71C7">
      <w:pPr>
        <w:pStyle w:val="Reference"/>
        <w:jc w:val="left"/>
        <w:rPr>
          <w:sz w:val="22"/>
        </w:rPr>
      </w:pPr>
      <w:bookmarkStart w:id="11" w:name="_Ref51243098"/>
      <w:bookmarkEnd w:id="5"/>
      <w:r w:rsidRPr="005244CC">
        <w:rPr>
          <w:sz w:val="22"/>
        </w:rPr>
        <w:t>TR</w:t>
      </w:r>
      <w:r w:rsidR="00832D78">
        <w:rPr>
          <w:sz w:val="22"/>
        </w:rPr>
        <w:t>-</w:t>
      </w:r>
      <w:r w:rsidRPr="005244CC">
        <w:rPr>
          <w:sz w:val="22"/>
        </w:rPr>
        <w:t>36.888</w:t>
      </w:r>
      <w:r w:rsidR="00832D78">
        <w:rPr>
          <w:sz w:val="22"/>
        </w:rPr>
        <w:t xml:space="preserve"> </w:t>
      </w:r>
      <w:r w:rsidRPr="005244CC">
        <w:rPr>
          <w:sz w:val="22"/>
        </w:rPr>
        <w:t>V12.0.0</w:t>
      </w:r>
      <w:r w:rsidR="00984A75">
        <w:rPr>
          <w:sz w:val="22"/>
        </w:rPr>
        <w:t xml:space="preserve"> </w:t>
      </w:r>
      <w:r w:rsidR="00984A75" w:rsidRPr="00B51296">
        <w:rPr>
          <w:sz w:val="22"/>
        </w:rPr>
        <w:t xml:space="preserve">Study on provision of low-cost </w:t>
      </w:r>
      <w:r w:rsidR="00984A75" w:rsidRPr="00B51296">
        <w:rPr>
          <w:sz w:val="22"/>
        </w:rPr>
        <w:br/>
        <w:t xml:space="preserve">Machine-Type Communications (MTC) User </w:t>
      </w:r>
      <w:r w:rsidR="00984A75" w:rsidRPr="00E21E51">
        <w:rPr>
          <w:sz w:val="22"/>
        </w:rPr>
        <w:t>Equipment</w:t>
      </w:r>
      <w:r w:rsidR="00984A75" w:rsidRPr="00B51296">
        <w:rPr>
          <w:sz w:val="22"/>
        </w:rPr>
        <w:t xml:space="preserve"> (UEs</w:t>
      </w:r>
      <w:r w:rsidR="00984A75">
        <w:rPr>
          <w:sz w:val="22"/>
        </w:rPr>
        <w:t>)</w:t>
      </w:r>
      <w:r w:rsidR="00984A75" w:rsidRPr="0025554D" w:rsidDel="00F66F2A">
        <w:rPr>
          <w:sz w:val="22"/>
        </w:rPr>
        <w:t xml:space="preserve"> </w:t>
      </w:r>
      <w:bookmarkEnd w:id="6"/>
      <w:bookmarkEnd w:id="7"/>
      <w:bookmarkEnd w:id="11"/>
    </w:p>
    <w:sectPr w:rsidR="0025554D" w:rsidSect="00142641">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733E65" w14:textId="77777777" w:rsidR="00700EEC" w:rsidRDefault="00700EEC" w:rsidP="00BE4A7C">
      <w:pPr>
        <w:spacing w:after="0" w:line="240" w:lineRule="auto"/>
      </w:pPr>
      <w:r>
        <w:separator/>
      </w:r>
    </w:p>
  </w:endnote>
  <w:endnote w:type="continuationSeparator" w:id="0">
    <w:p w14:paraId="65B27693" w14:textId="77777777" w:rsidR="00700EEC" w:rsidRDefault="00700EEC" w:rsidP="00BE4A7C">
      <w:pPr>
        <w:spacing w:after="0" w:line="240" w:lineRule="auto"/>
      </w:pPr>
      <w:r>
        <w:continuationSeparator/>
      </w:r>
    </w:p>
  </w:endnote>
  <w:endnote w:type="continuationNotice" w:id="1">
    <w:p w14:paraId="4D35A7B7" w14:textId="77777777" w:rsidR="00700EEC" w:rsidRDefault="00700EE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A59BDC" w14:textId="77777777" w:rsidR="00527FB8" w:rsidRDefault="00527F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669371" w14:textId="77777777" w:rsidR="00142641" w:rsidRDefault="00FA236D" w:rsidP="00142641">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16A714" w14:textId="77777777" w:rsidR="00527FB8" w:rsidRDefault="00527F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374363" w14:textId="77777777" w:rsidR="00700EEC" w:rsidRDefault="00700EEC" w:rsidP="00BE4A7C">
      <w:pPr>
        <w:spacing w:after="0" w:line="240" w:lineRule="auto"/>
      </w:pPr>
      <w:r>
        <w:separator/>
      </w:r>
    </w:p>
  </w:footnote>
  <w:footnote w:type="continuationSeparator" w:id="0">
    <w:p w14:paraId="1129145E" w14:textId="77777777" w:rsidR="00700EEC" w:rsidRDefault="00700EEC" w:rsidP="00BE4A7C">
      <w:pPr>
        <w:spacing w:after="0" w:line="240" w:lineRule="auto"/>
      </w:pPr>
      <w:r>
        <w:continuationSeparator/>
      </w:r>
    </w:p>
  </w:footnote>
  <w:footnote w:type="continuationNotice" w:id="1">
    <w:p w14:paraId="278C5B5C" w14:textId="77777777" w:rsidR="00700EEC" w:rsidRDefault="00700EE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D781E" w14:textId="77777777" w:rsidR="00142641" w:rsidRDefault="00FA236D">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AB5C5E" w14:textId="77777777" w:rsidR="00527FB8" w:rsidRDefault="00527F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12322A" w14:textId="77777777" w:rsidR="00527FB8" w:rsidRDefault="00527F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multilevel"/>
    <w:tmpl w:val="9B209636"/>
    <w:lvl w:ilvl="0">
      <w:start w:val="1"/>
      <w:numFmt w:val="decimal"/>
      <w:lvlText w:val="%1."/>
      <w:lvlJc w:val="left"/>
      <w:pPr>
        <w:tabs>
          <w:tab w:val="num" w:pos="1209"/>
        </w:tabs>
        <w:ind w:left="1209"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7E"/>
    <w:multiLevelType w:val="hybridMultilevel"/>
    <w:tmpl w:val="8D74240A"/>
    <w:lvl w:ilvl="0" w:tplc="6ACCA45C">
      <w:start w:val="1"/>
      <w:numFmt w:val="lowerRoman"/>
      <w:pStyle w:val="ListNumber3"/>
      <w:lvlText w:val="%1."/>
      <w:lvlJc w:val="right"/>
      <w:pPr>
        <w:ind w:left="926" w:hanging="360"/>
      </w:pPr>
    </w:lvl>
    <w:lvl w:ilvl="1" w:tplc="DAA462B2">
      <w:numFmt w:val="decimal"/>
      <w:lvlText w:val=""/>
      <w:lvlJc w:val="left"/>
    </w:lvl>
    <w:lvl w:ilvl="2" w:tplc="E1425D8E">
      <w:numFmt w:val="decimal"/>
      <w:lvlText w:val=""/>
      <w:lvlJc w:val="left"/>
    </w:lvl>
    <w:lvl w:ilvl="3" w:tplc="757A55FE">
      <w:numFmt w:val="decimal"/>
      <w:lvlText w:val=""/>
      <w:lvlJc w:val="left"/>
    </w:lvl>
    <w:lvl w:ilvl="4" w:tplc="5B7E8B78">
      <w:numFmt w:val="decimal"/>
      <w:lvlText w:val=""/>
      <w:lvlJc w:val="left"/>
    </w:lvl>
    <w:lvl w:ilvl="5" w:tplc="FC445C10">
      <w:numFmt w:val="decimal"/>
      <w:lvlText w:val=""/>
      <w:lvlJc w:val="left"/>
    </w:lvl>
    <w:lvl w:ilvl="6" w:tplc="6360F73C">
      <w:numFmt w:val="decimal"/>
      <w:lvlText w:val=""/>
      <w:lvlJc w:val="left"/>
    </w:lvl>
    <w:lvl w:ilvl="7" w:tplc="406E38EC">
      <w:numFmt w:val="decimal"/>
      <w:lvlText w:val=""/>
      <w:lvlJc w:val="left"/>
    </w:lvl>
    <w:lvl w:ilvl="8" w:tplc="0178BC9E">
      <w:numFmt w:val="decimal"/>
      <w:lvlText w:val=""/>
      <w:lvlJc w:val="left"/>
    </w:lvl>
  </w:abstractNum>
  <w:abstractNum w:abstractNumId="3" w15:restartNumberingAfterBreak="0">
    <w:nsid w:val="02552047"/>
    <w:multiLevelType w:val="multilevel"/>
    <w:tmpl w:val="2E0A84E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74B52FE"/>
    <w:multiLevelType w:val="multilevel"/>
    <w:tmpl w:val="229C2D5E"/>
    <w:lvl w:ilvl="0">
      <w:start w:val="1"/>
      <w:numFmt w:val="bullet"/>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8"/>
        <w:u w:val="none"/>
      </w:rPr>
    </w:lvl>
    <w:lvl w:ilvl="4">
      <w:start w:val="1"/>
      <w:numFmt w:val="bullet"/>
      <w:lvlText w:val="&gt;"/>
      <w:lvlJc w:val="left"/>
      <w:pPr>
        <w:tabs>
          <w:tab w:val="num" w:pos="4366"/>
        </w:tabs>
        <w:ind w:left="4366" w:hanging="397"/>
      </w:pPr>
      <w:rPr>
        <w:rFonts w:ascii="Times New Roman" w:eastAsia="MS PGothic"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hybridMultilevel"/>
    <w:tmpl w:val="456CAACC"/>
    <w:lvl w:ilvl="0" w:tplc="2DE62F2E">
      <w:start w:val="1"/>
      <w:numFmt w:val="decimal"/>
      <w:lvlText w:val="Proposal %1:"/>
      <w:lvlJc w:val="left"/>
      <w:pPr>
        <w:tabs>
          <w:tab w:val="num" w:pos="1304"/>
        </w:tabs>
        <w:ind w:left="1304" w:hanging="1304"/>
      </w:pPr>
      <w:rPr>
        <w:rFonts w:hint="default"/>
      </w:rPr>
    </w:lvl>
    <w:lvl w:ilvl="1" w:tplc="7854D3C2">
      <w:start w:val="1"/>
      <w:numFmt w:val="lowerLetter"/>
      <w:lvlText w:val="%2."/>
      <w:lvlJc w:val="left"/>
      <w:pPr>
        <w:tabs>
          <w:tab w:val="num" w:pos="1440"/>
        </w:tabs>
        <w:ind w:left="1440" w:hanging="360"/>
      </w:pPr>
    </w:lvl>
    <w:lvl w:ilvl="2" w:tplc="5E601436">
      <w:start w:val="1"/>
      <w:numFmt w:val="lowerRoman"/>
      <w:lvlText w:val="%3."/>
      <w:lvlJc w:val="right"/>
      <w:pPr>
        <w:tabs>
          <w:tab w:val="num" w:pos="2160"/>
        </w:tabs>
        <w:ind w:left="2160" w:hanging="180"/>
      </w:pPr>
    </w:lvl>
    <w:lvl w:ilvl="3" w:tplc="A544BC9E">
      <w:start w:val="1"/>
      <w:numFmt w:val="decimal"/>
      <w:lvlText w:val="%4."/>
      <w:lvlJc w:val="left"/>
      <w:pPr>
        <w:tabs>
          <w:tab w:val="num" w:pos="2880"/>
        </w:tabs>
        <w:ind w:left="2880" w:hanging="360"/>
      </w:pPr>
    </w:lvl>
    <w:lvl w:ilvl="4" w:tplc="91ACDC46">
      <w:start w:val="1"/>
      <w:numFmt w:val="lowerLetter"/>
      <w:lvlText w:val="%5."/>
      <w:lvlJc w:val="left"/>
      <w:pPr>
        <w:tabs>
          <w:tab w:val="num" w:pos="3600"/>
        </w:tabs>
        <w:ind w:left="3600" w:hanging="360"/>
      </w:pPr>
    </w:lvl>
    <w:lvl w:ilvl="5" w:tplc="250CA19E">
      <w:start w:val="1"/>
      <w:numFmt w:val="lowerRoman"/>
      <w:lvlText w:val="%6."/>
      <w:lvlJc w:val="right"/>
      <w:pPr>
        <w:tabs>
          <w:tab w:val="num" w:pos="4320"/>
        </w:tabs>
        <w:ind w:left="4320" w:hanging="180"/>
      </w:pPr>
    </w:lvl>
    <w:lvl w:ilvl="6" w:tplc="BBC054B2">
      <w:start w:val="1"/>
      <w:numFmt w:val="decimal"/>
      <w:lvlText w:val="%7."/>
      <w:lvlJc w:val="left"/>
      <w:pPr>
        <w:tabs>
          <w:tab w:val="num" w:pos="5040"/>
        </w:tabs>
        <w:ind w:left="5040" w:hanging="360"/>
      </w:pPr>
    </w:lvl>
    <w:lvl w:ilvl="7" w:tplc="C53C3460">
      <w:start w:val="1"/>
      <w:numFmt w:val="lowerLetter"/>
      <w:lvlText w:val="%8."/>
      <w:lvlJc w:val="left"/>
      <w:pPr>
        <w:tabs>
          <w:tab w:val="num" w:pos="5760"/>
        </w:tabs>
        <w:ind w:left="5760" w:hanging="360"/>
      </w:pPr>
    </w:lvl>
    <w:lvl w:ilvl="8" w:tplc="B61AB454">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87A5EA6"/>
    <w:multiLevelType w:val="hybridMultilevel"/>
    <w:tmpl w:val="BEC65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A990806"/>
    <w:multiLevelType w:val="hybridMultilevel"/>
    <w:tmpl w:val="1EF63512"/>
    <w:lvl w:ilvl="0" w:tplc="6DF85144">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775E76"/>
    <w:multiLevelType w:val="hybridMultilevel"/>
    <w:tmpl w:val="7E389DD0"/>
    <w:lvl w:ilvl="0" w:tplc="E67CAAA8">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3430720"/>
    <w:multiLevelType w:val="hybridMultilevel"/>
    <w:tmpl w:val="0C94C9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6D31F3C"/>
    <w:multiLevelType w:val="hybridMultilevel"/>
    <w:tmpl w:val="D37E0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294014E"/>
    <w:multiLevelType w:val="hybridMultilevel"/>
    <w:tmpl w:val="60EA5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8B65592"/>
    <w:multiLevelType w:val="hybridMultilevel"/>
    <w:tmpl w:val="04B851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09C5F67"/>
    <w:multiLevelType w:val="hybridMultilevel"/>
    <w:tmpl w:val="6150B2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8"/>
  </w:num>
  <w:num w:numId="3">
    <w:abstractNumId w:val="13"/>
  </w:num>
  <w:num w:numId="4">
    <w:abstractNumId w:val="14"/>
  </w:num>
  <w:num w:numId="5">
    <w:abstractNumId w:val="9"/>
  </w:num>
  <w:num w:numId="6">
    <w:abstractNumId w:val="16"/>
  </w:num>
  <w:num w:numId="7">
    <w:abstractNumId w:val="24"/>
  </w:num>
  <w:num w:numId="8">
    <w:abstractNumId w:val="10"/>
  </w:num>
  <w:num w:numId="9">
    <w:abstractNumId w:val="8"/>
  </w:num>
  <w:num w:numId="10">
    <w:abstractNumId w:val="2"/>
  </w:num>
  <w:num w:numId="11">
    <w:abstractNumId w:val="1"/>
  </w:num>
  <w:num w:numId="12">
    <w:abstractNumId w:val="0"/>
  </w:num>
  <w:num w:numId="13">
    <w:abstractNumId w:val="19"/>
  </w:num>
  <w:num w:numId="14">
    <w:abstractNumId w:val="20"/>
  </w:num>
  <w:num w:numId="15">
    <w:abstractNumId w:val="15"/>
  </w:num>
  <w:num w:numId="16">
    <w:abstractNumId w:val="25"/>
  </w:num>
  <w:num w:numId="17">
    <w:abstractNumId w:val="6"/>
  </w:num>
  <w:num w:numId="18">
    <w:abstractNumId w:val="7"/>
  </w:num>
  <w:num w:numId="19">
    <w:abstractNumId w:val="4"/>
  </w:num>
  <w:num w:numId="20">
    <w:abstractNumId w:val="30"/>
  </w:num>
  <w:num w:numId="21">
    <w:abstractNumId w:val="11"/>
  </w:num>
  <w:num w:numId="22">
    <w:abstractNumId w:val="28"/>
  </w:num>
  <w:num w:numId="23">
    <w:abstractNumId w:val="17"/>
  </w:num>
  <w:num w:numId="24">
    <w:abstractNumId w:val="27"/>
  </w:num>
  <w:num w:numId="25">
    <w:abstractNumId w:val="5"/>
  </w:num>
  <w:num w:numId="26">
    <w:abstractNumId w:val="12"/>
  </w:num>
  <w:num w:numId="27">
    <w:abstractNumId w:val="29"/>
  </w:num>
  <w:num w:numId="28">
    <w:abstractNumId w:val="22"/>
  </w:num>
  <w:num w:numId="29">
    <w:abstractNumId w:val="26"/>
  </w:num>
  <w:num w:numId="30">
    <w:abstractNumId w:val="23"/>
  </w:num>
  <w:num w:numId="31">
    <w:abstractNumId w:val="18"/>
  </w:num>
  <w:num w:numId="32">
    <w:abstractNumId w:val="19"/>
  </w:num>
  <w:num w:numId="33">
    <w:abstractNumId w:val="19"/>
  </w:num>
  <w:num w:numId="34">
    <w:abstractNumId w:val="19"/>
  </w:num>
  <w:num w:numId="35">
    <w:abstractNumId w:val="19"/>
  </w:num>
  <w:num w:numId="36">
    <w:abstractNumId w:val="19"/>
    <w:lvlOverride w:ilvl="0">
      <w:startOverride w:val="1"/>
    </w:lvlOverride>
  </w:num>
  <w:num w:numId="37">
    <w:abstractNumId w:val="19"/>
  </w:num>
  <w:num w:numId="38">
    <w:abstractNumId w:val="19"/>
    <w:lvlOverride w:ilvl="0">
      <w:startOverride w:val="1"/>
    </w:lvlOverride>
  </w:num>
  <w:num w:numId="39">
    <w:abstractNumId w:val="21"/>
  </w:num>
  <w:num w:numId="4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89C"/>
    <w:rsid w:val="000023ED"/>
    <w:rsid w:val="00004E93"/>
    <w:rsid w:val="00006243"/>
    <w:rsid w:val="00024A54"/>
    <w:rsid w:val="00025FC9"/>
    <w:rsid w:val="00027A28"/>
    <w:rsid w:val="000339E6"/>
    <w:rsid w:val="00037384"/>
    <w:rsid w:val="0005037F"/>
    <w:rsid w:val="000553E6"/>
    <w:rsid w:val="000608B1"/>
    <w:rsid w:val="0006324F"/>
    <w:rsid w:val="00070EB1"/>
    <w:rsid w:val="00081152"/>
    <w:rsid w:val="00086745"/>
    <w:rsid w:val="0009592E"/>
    <w:rsid w:val="000A08DE"/>
    <w:rsid w:val="000A11C9"/>
    <w:rsid w:val="000A3868"/>
    <w:rsid w:val="000A7914"/>
    <w:rsid w:val="000B6150"/>
    <w:rsid w:val="000C3959"/>
    <w:rsid w:val="000E29BE"/>
    <w:rsid w:val="000F1899"/>
    <w:rsid w:val="000F2DCD"/>
    <w:rsid w:val="00100956"/>
    <w:rsid w:val="00104FA3"/>
    <w:rsid w:val="00132A8E"/>
    <w:rsid w:val="00142641"/>
    <w:rsid w:val="0016459E"/>
    <w:rsid w:val="001678C8"/>
    <w:rsid w:val="001719DC"/>
    <w:rsid w:val="00171AD8"/>
    <w:rsid w:val="00181B8A"/>
    <w:rsid w:val="00182C40"/>
    <w:rsid w:val="0019185E"/>
    <w:rsid w:val="001C02A3"/>
    <w:rsid w:val="001D4B0D"/>
    <w:rsid w:val="001D6327"/>
    <w:rsid w:val="001D778B"/>
    <w:rsid w:val="001E35B7"/>
    <w:rsid w:val="001E49B0"/>
    <w:rsid w:val="001E6F4F"/>
    <w:rsid w:val="001F2DC7"/>
    <w:rsid w:val="002024B6"/>
    <w:rsid w:val="0022518F"/>
    <w:rsid w:val="00226C6B"/>
    <w:rsid w:val="00252B11"/>
    <w:rsid w:val="0025554D"/>
    <w:rsid w:val="002635BD"/>
    <w:rsid w:val="0029436B"/>
    <w:rsid w:val="002A3F1D"/>
    <w:rsid w:val="002B4FB1"/>
    <w:rsid w:val="002C1C23"/>
    <w:rsid w:val="002C2925"/>
    <w:rsid w:val="002D6821"/>
    <w:rsid w:val="002F53E5"/>
    <w:rsid w:val="00303CC6"/>
    <w:rsid w:val="003059AA"/>
    <w:rsid w:val="00306FEE"/>
    <w:rsid w:val="00312AC9"/>
    <w:rsid w:val="00325E44"/>
    <w:rsid w:val="003351C0"/>
    <w:rsid w:val="00343887"/>
    <w:rsid w:val="00354E81"/>
    <w:rsid w:val="0035575B"/>
    <w:rsid w:val="00362429"/>
    <w:rsid w:val="003669F4"/>
    <w:rsid w:val="00395BF3"/>
    <w:rsid w:val="003D34D0"/>
    <w:rsid w:val="003D5EAC"/>
    <w:rsid w:val="003E0924"/>
    <w:rsid w:val="003E22DA"/>
    <w:rsid w:val="003F6A99"/>
    <w:rsid w:val="00411CE0"/>
    <w:rsid w:val="00423500"/>
    <w:rsid w:val="00434AF5"/>
    <w:rsid w:val="004455FE"/>
    <w:rsid w:val="004524EC"/>
    <w:rsid w:val="004B0D39"/>
    <w:rsid w:val="004B559D"/>
    <w:rsid w:val="004C3C5A"/>
    <w:rsid w:val="004C7655"/>
    <w:rsid w:val="004E22E7"/>
    <w:rsid w:val="004E36A0"/>
    <w:rsid w:val="004E4DE3"/>
    <w:rsid w:val="004F473F"/>
    <w:rsid w:val="00517999"/>
    <w:rsid w:val="005244CC"/>
    <w:rsid w:val="00527FB8"/>
    <w:rsid w:val="00536957"/>
    <w:rsid w:val="00544479"/>
    <w:rsid w:val="00545AF2"/>
    <w:rsid w:val="005548A4"/>
    <w:rsid w:val="005744A0"/>
    <w:rsid w:val="005744FF"/>
    <w:rsid w:val="00593335"/>
    <w:rsid w:val="005C4F4B"/>
    <w:rsid w:val="005D272F"/>
    <w:rsid w:val="005D4A5A"/>
    <w:rsid w:val="005D5A03"/>
    <w:rsid w:val="005D71C7"/>
    <w:rsid w:val="005E41EA"/>
    <w:rsid w:val="005E6C97"/>
    <w:rsid w:val="006024E6"/>
    <w:rsid w:val="0061084A"/>
    <w:rsid w:val="00623E80"/>
    <w:rsid w:val="006315AF"/>
    <w:rsid w:val="00645ABB"/>
    <w:rsid w:val="006645A6"/>
    <w:rsid w:val="006647C6"/>
    <w:rsid w:val="006875A7"/>
    <w:rsid w:val="006A615F"/>
    <w:rsid w:val="006B2C13"/>
    <w:rsid w:val="006C07AC"/>
    <w:rsid w:val="006C3CEE"/>
    <w:rsid w:val="006C4057"/>
    <w:rsid w:val="006C4F69"/>
    <w:rsid w:val="006D07EF"/>
    <w:rsid w:val="006D12EB"/>
    <w:rsid w:val="006D5A7B"/>
    <w:rsid w:val="006E589C"/>
    <w:rsid w:val="00700961"/>
    <w:rsid w:val="00700EB8"/>
    <w:rsid w:val="00700EEC"/>
    <w:rsid w:val="007035F5"/>
    <w:rsid w:val="007209DD"/>
    <w:rsid w:val="00727EE5"/>
    <w:rsid w:val="00741155"/>
    <w:rsid w:val="00746916"/>
    <w:rsid w:val="00750444"/>
    <w:rsid w:val="0076651C"/>
    <w:rsid w:val="0077330D"/>
    <w:rsid w:val="007A1874"/>
    <w:rsid w:val="007B70CB"/>
    <w:rsid w:val="007F48B2"/>
    <w:rsid w:val="007F5422"/>
    <w:rsid w:val="00820DEB"/>
    <w:rsid w:val="00821375"/>
    <w:rsid w:val="00823CA8"/>
    <w:rsid w:val="0082427A"/>
    <w:rsid w:val="00825592"/>
    <w:rsid w:val="0082639F"/>
    <w:rsid w:val="00832D78"/>
    <w:rsid w:val="008368E5"/>
    <w:rsid w:val="0084033E"/>
    <w:rsid w:val="008478A6"/>
    <w:rsid w:val="0085081D"/>
    <w:rsid w:val="008520D8"/>
    <w:rsid w:val="0086427F"/>
    <w:rsid w:val="00872D88"/>
    <w:rsid w:val="00881EAD"/>
    <w:rsid w:val="008946C5"/>
    <w:rsid w:val="00897E5E"/>
    <w:rsid w:val="008A1A21"/>
    <w:rsid w:val="008B3A0C"/>
    <w:rsid w:val="008C393B"/>
    <w:rsid w:val="008C4EDF"/>
    <w:rsid w:val="008D18A3"/>
    <w:rsid w:val="008D55D0"/>
    <w:rsid w:val="008D5DC5"/>
    <w:rsid w:val="008E1F06"/>
    <w:rsid w:val="008E48A7"/>
    <w:rsid w:val="008F5006"/>
    <w:rsid w:val="009000B4"/>
    <w:rsid w:val="00903FC7"/>
    <w:rsid w:val="00906F46"/>
    <w:rsid w:val="009136A5"/>
    <w:rsid w:val="009201A1"/>
    <w:rsid w:val="009575F9"/>
    <w:rsid w:val="00965F55"/>
    <w:rsid w:val="00984A75"/>
    <w:rsid w:val="00996A1D"/>
    <w:rsid w:val="009A3A63"/>
    <w:rsid w:val="009A4D1E"/>
    <w:rsid w:val="009B262C"/>
    <w:rsid w:val="009D40D9"/>
    <w:rsid w:val="009D64A5"/>
    <w:rsid w:val="009E1528"/>
    <w:rsid w:val="009F0718"/>
    <w:rsid w:val="009F3395"/>
    <w:rsid w:val="009F347D"/>
    <w:rsid w:val="00A040AD"/>
    <w:rsid w:val="00A1272D"/>
    <w:rsid w:val="00A2051A"/>
    <w:rsid w:val="00A35345"/>
    <w:rsid w:val="00A7259F"/>
    <w:rsid w:val="00A82F9F"/>
    <w:rsid w:val="00AA052D"/>
    <w:rsid w:val="00AA7228"/>
    <w:rsid w:val="00AB17CB"/>
    <w:rsid w:val="00AD4687"/>
    <w:rsid w:val="00AF108E"/>
    <w:rsid w:val="00AF6B0F"/>
    <w:rsid w:val="00B0222B"/>
    <w:rsid w:val="00B060B3"/>
    <w:rsid w:val="00B06E4C"/>
    <w:rsid w:val="00B31F50"/>
    <w:rsid w:val="00B457F1"/>
    <w:rsid w:val="00B5075B"/>
    <w:rsid w:val="00B51296"/>
    <w:rsid w:val="00B51FDA"/>
    <w:rsid w:val="00B577AB"/>
    <w:rsid w:val="00B66778"/>
    <w:rsid w:val="00B71B14"/>
    <w:rsid w:val="00B77D27"/>
    <w:rsid w:val="00B90A5A"/>
    <w:rsid w:val="00BA71E2"/>
    <w:rsid w:val="00BB2236"/>
    <w:rsid w:val="00BB2708"/>
    <w:rsid w:val="00BB3664"/>
    <w:rsid w:val="00BE4A7C"/>
    <w:rsid w:val="00BF0503"/>
    <w:rsid w:val="00C104F3"/>
    <w:rsid w:val="00C11E42"/>
    <w:rsid w:val="00C12E3C"/>
    <w:rsid w:val="00C14018"/>
    <w:rsid w:val="00C35F64"/>
    <w:rsid w:val="00C5092C"/>
    <w:rsid w:val="00C6368D"/>
    <w:rsid w:val="00C64D13"/>
    <w:rsid w:val="00C65522"/>
    <w:rsid w:val="00C73029"/>
    <w:rsid w:val="00C92523"/>
    <w:rsid w:val="00CC3705"/>
    <w:rsid w:val="00CD49E7"/>
    <w:rsid w:val="00CD703A"/>
    <w:rsid w:val="00CE3ECA"/>
    <w:rsid w:val="00CE5E35"/>
    <w:rsid w:val="00CF1023"/>
    <w:rsid w:val="00D01254"/>
    <w:rsid w:val="00D2636D"/>
    <w:rsid w:val="00D32580"/>
    <w:rsid w:val="00D342E6"/>
    <w:rsid w:val="00D50145"/>
    <w:rsid w:val="00D50722"/>
    <w:rsid w:val="00D50C00"/>
    <w:rsid w:val="00D5575B"/>
    <w:rsid w:val="00D62A83"/>
    <w:rsid w:val="00D678A3"/>
    <w:rsid w:val="00D8299D"/>
    <w:rsid w:val="00D831D8"/>
    <w:rsid w:val="00D84F79"/>
    <w:rsid w:val="00D86D32"/>
    <w:rsid w:val="00DB2122"/>
    <w:rsid w:val="00DC1881"/>
    <w:rsid w:val="00DC2A01"/>
    <w:rsid w:val="00DC7A34"/>
    <w:rsid w:val="00DF3DB9"/>
    <w:rsid w:val="00DF67CA"/>
    <w:rsid w:val="00E03D8D"/>
    <w:rsid w:val="00E07873"/>
    <w:rsid w:val="00E1073C"/>
    <w:rsid w:val="00E13D71"/>
    <w:rsid w:val="00E20353"/>
    <w:rsid w:val="00E21E51"/>
    <w:rsid w:val="00E23685"/>
    <w:rsid w:val="00E41A54"/>
    <w:rsid w:val="00E43A45"/>
    <w:rsid w:val="00E44590"/>
    <w:rsid w:val="00E526E2"/>
    <w:rsid w:val="00E72893"/>
    <w:rsid w:val="00E951B5"/>
    <w:rsid w:val="00E96EB4"/>
    <w:rsid w:val="00EB6F3D"/>
    <w:rsid w:val="00EC1E8D"/>
    <w:rsid w:val="00EE38FC"/>
    <w:rsid w:val="00EE614B"/>
    <w:rsid w:val="00EF55D2"/>
    <w:rsid w:val="00F06AB4"/>
    <w:rsid w:val="00F16EF8"/>
    <w:rsid w:val="00F20CD9"/>
    <w:rsid w:val="00F23B11"/>
    <w:rsid w:val="00F3456E"/>
    <w:rsid w:val="00F4608D"/>
    <w:rsid w:val="00F62239"/>
    <w:rsid w:val="00F66F2A"/>
    <w:rsid w:val="00F7221E"/>
    <w:rsid w:val="00F73FE7"/>
    <w:rsid w:val="00F83BA1"/>
    <w:rsid w:val="00F84851"/>
    <w:rsid w:val="00F8727D"/>
    <w:rsid w:val="00FA1134"/>
    <w:rsid w:val="00FA236D"/>
    <w:rsid w:val="00FA64D8"/>
    <w:rsid w:val="00FB03C5"/>
    <w:rsid w:val="00FB1C73"/>
    <w:rsid w:val="00FB2A74"/>
    <w:rsid w:val="00FB44F2"/>
    <w:rsid w:val="00FB4953"/>
    <w:rsid w:val="00FB52D4"/>
    <w:rsid w:val="00FC1351"/>
    <w:rsid w:val="00FC46BB"/>
    <w:rsid w:val="00FC50D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36D9CC"/>
  <w15:chartTrackingRefBased/>
  <w15:docId w15:val="{CCAAB50C-0FAD-4FE9-A001-BD1DE6B88D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6E589C"/>
    <w:rPr>
      <w:rFonts w:ascii="Arial" w:hAnsi="Arial"/>
      <w:sz w:val="20"/>
      <w:lang w:val="en-US"/>
    </w:rPr>
  </w:style>
  <w:style w:type="paragraph" w:styleId="Heading1">
    <w:name w:val="heading 1"/>
    <w:next w:val="Normal"/>
    <w:link w:val="Heading1Char"/>
    <w:qFormat/>
    <w:rsid w:val="006E589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ja-JP"/>
    </w:rPr>
  </w:style>
  <w:style w:type="paragraph" w:styleId="Heading2">
    <w:name w:val="heading 2"/>
    <w:basedOn w:val="Heading1"/>
    <w:next w:val="Normal"/>
    <w:link w:val="Heading2Char"/>
    <w:qFormat/>
    <w:rsid w:val="006E589C"/>
    <w:pPr>
      <w:pBdr>
        <w:top w:val="none" w:sz="0" w:space="0" w:color="auto"/>
      </w:pBdr>
      <w:spacing w:before="180"/>
      <w:outlineLvl w:val="1"/>
    </w:pPr>
    <w:rPr>
      <w:sz w:val="32"/>
    </w:rPr>
  </w:style>
  <w:style w:type="paragraph" w:styleId="Heading3">
    <w:name w:val="heading 3"/>
    <w:basedOn w:val="Heading2"/>
    <w:next w:val="Normal"/>
    <w:link w:val="Heading3Char"/>
    <w:qFormat/>
    <w:rsid w:val="006E589C"/>
    <w:pPr>
      <w:spacing w:before="120"/>
      <w:outlineLvl w:val="2"/>
    </w:pPr>
    <w:rPr>
      <w:sz w:val="28"/>
    </w:rPr>
  </w:style>
  <w:style w:type="paragraph" w:styleId="Heading4">
    <w:name w:val="heading 4"/>
    <w:basedOn w:val="Heading3"/>
    <w:next w:val="Normal"/>
    <w:link w:val="Heading4Char"/>
    <w:qFormat/>
    <w:rsid w:val="006E589C"/>
    <w:pPr>
      <w:ind w:left="1418" w:hanging="1418"/>
      <w:outlineLvl w:val="3"/>
    </w:pPr>
    <w:rPr>
      <w:sz w:val="24"/>
    </w:rPr>
  </w:style>
  <w:style w:type="paragraph" w:styleId="Heading5">
    <w:name w:val="heading 5"/>
    <w:basedOn w:val="Heading4"/>
    <w:next w:val="Normal"/>
    <w:link w:val="Heading5Char"/>
    <w:qFormat/>
    <w:rsid w:val="006E589C"/>
    <w:pPr>
      <w:ind w:left="1701" w:hanging="1701"/>
      <w:outlineLvl w:val="4"/>
    </w:pPr>
    <w:rPr>
      <w:sz w:val="22"/>
    </w:rPr>
  </w:style>
  <w:style w:type="paragraph" w:styleId="Heading6">
    <w:name w:val="heading 6"/>
    <w:basedOn w:val="H6"/>
    <w:next w:val="Normal"/>
    <w:link w:val="Heading6Char"/>
    <w:qFormat/>
    <w:rsid w:val="006E589C"/>
    <w:pPr>
      <w:outlineLvl w:val="5"/>
    </w:pPr>
  </w:style>
  <w:style w:type="paragraph" w:styleId="Heading7">
    <w:name w:val="heading 7"/>
    <w:basedOn w:val="H6"/>
    <w:next w:val="Normal"/>
    <w:link w:val="Heading7Char"/>
    <w:qFormat/>
    <w:rsid w:val="006E589C"/>
    <w:pPr>
      <w:outlineLvl w:val="6"/>
    </w:pPr>
  </w:style>
  <w:style w:type="paragraph" w:styleId="Heading8">
    <w:name w:val="heading 8"/>
    <w:basedOn w:val="Heading1"/>
    <w:next w:val="Normal"/>
    <w:link w:val="Heading8Char"/>
    <w:qFormat/>
    <w:rsid w:val="006E589C"/>
    <w:pPr>
      <w:ind w:left="0" w:firstLine="0"/>
      <w:outlineLvl w:val="7"/>
    </w:pPr>
  </w:style>
  <w:style w:type="paragraph" w:styleId="Heading9">
    <w:name w:val="heading 9"/>
    <w:basedOn w:val="Heading8"/>
    <w:next w:val="Normal"/>
    <w:link w:val="Heading9Char"/>
    <w:qFormat/>
    <w:rsid w:val="006E589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E589C"/>
    <w:rPr>
      <w:rFonts w:ascii="Arial" w:eastAsia="Times New Roman" w:hAnsi="Arial" w:cs="Times New Roman"/>
      <w:sz w:val="36"/>
      <w:szCs w:val="20"/>
      <w:lang w:eastAsia="ja-JP"/>
    </w:rPr>
  </w:style>
  <w:style w:type="character" w:customStyle="1" w:styleId="Heading2Char">
    <w:name w:val="Heading 2 Char"/>
    <w:basedOn w:val="DefaultParagraphFont"/>
    <w:link w:val="Heading2"/>
    <w:rsid w:val="006E589C"/>
    <w:rPr>
      <w:rFonts w:ascii="Arial" w:eastAsia="Times New Roman" w:hAnsi="Arial" w:cs="Times New Roman"/>
      <w:sz w:val="32"/>
      <w:szCs w:val="20"/>
      <w:lang w:eastAsia="ja-JP"/>
    </w:rPr>
  </w:style>
  <w:style w:type="character" w:customStyle="1" w:styleId="Heading3Char">
    <w:name w:val="Heading 3 Char"/>
    <w:basedOn w:val="DefaultParagraphFont"/>
    <w:link w:val="Heading3"/>
    <w:rsid w:val="006E589C"/>
    <w:rPr>
      <w:rFonts w:ascii="Arial" w:eastAsia="Times New Roman" w:hAnsi="Arial" w:cs="Times New Roman"/>
      <w:sz w:val="28"/>
      <w:szCs w:val="20"/>
      <w:lang w:eastAsia="ja-JP"/>
    </w:rPr>
  </w:style>
  <w:style w:type="character" w:customStyle="1" w:styleId="Heading4Char">
    <w:name w:val="Heading 4 Char"/>
    <w:basedOn w:val="DefaultParagraphFont"/>
    <w:link w:val="Heading4"/>
    <w:rsid w:val="006E589C"/>
    <w:rPr>
      <w:rFonts w:ascii="Arial" w:eastAsia="Times New Roman" w:hAnsi="Arial" w:cs="Times New Roman"/>
      <w:sz w:val="24"/>
      <w:szCs w:val="20"/>
      <w:lang w:eastAsia="ja-JP"/>
    </w:rPr>
  </w:style>
  <w:style w:type="character" w:customStyle="1" w:styleId="Heading5Char">
    <w:name w:val="Heading 5 Char"/>
    <w:basedOn w:val="DefaultParagraphFont"/>
    <w:link w:val="Heading5"/>
    <w:rsid w:val="006E589C"/>
    <w:rPr>
      <w:rFonts w:ascii="Arial" w:eastAsia="Times New Roman" w:hAnsi="Arial" w:cs="Times New Roman"/>
      <w:szCs w:val="20"/>
      <w:lang w:eastAsia="ja-JP"/>
    </w:rPr>
  </w:style>
  <w:style w:type="character" w:customStyle="1" w:styleId="Heading6Char">
    <w:name w:val="Heading 6 Char"/>
    <w:basedOn w:val="DefaultParagraphFont"/>
    <w:link w:val="Heading6"/>
    <w:rsid w:val="006E589C"/>
    <w:rPr>
      <w:rFonts w:ascii="Arial" w:eastAsia="Times New Roman" w:hAnsi="Arial" w:cs="Times New Roman"/>
      <w:sz w:val="20"/>
      <w:szCs w:val="20"/>
      <w:lang w:eastAsia="ja-JP"/>
    </w:rPr>
  </w:style>
  <w:style w:type="character" w:customStyle="1" w:styleId="Heading7Char">
    <w:name w:val="Heading 7 Char"/>
    <w:basedOn w:val="DefaultParagraphFont"/>
    <w:link w:val="Heading7"/>
    <w:rsid w:val="006E589C"/>
    <w:rPr>
      <w:rFonts w:ascii="Arial" w:eastAsia="Times New Roman" w:hAnsi="Arial" w:cs="Times New Roman"/>
      <w:sz w:val="20"/>
      <w:szCs w:val="20"/>
      <w:lang w:eastAsia="ja-JP"/>
    </w:rPr>
  </w:style>
  <w:style w:type="character" w:customStyle="1" w:styleId="Heading8Char">
    <w:name w:val="Heading 8 Char"/>
    <w:basedOn w:val="DefaultParagraphFont"/>
    <w:link w:val="Heading8"/>
    <w:rsid w:val="006E589C"/>
    <w:rPr>
      <w:rFonts w:ascii="Arial" w:eastAsia="Times New Roman" w:hAnsi="Arial" w:cs="Times New Roman"/>
      <w:sz w:val="36"/>
      <w:szCs w:val="20"/>
      <w:lang w:eastAsia="ja-JP"/>
    </w:rPr>
  </w:style>
  <w:style w:type="character" w:customStyle="1" w:styleId="Heading9Char">
    <w:name w:val="Heading 9 Char"/>
    <w:basedOn w:val="DefaultParagraphFont"/>
    <w:link w:val="Heading9"/>
    <w:rsid w:val="006E589C"/>
    <w:rPr>
      <w:rFonts w:ascii="Arial" w:eastAsia="Times New Roman" w:hAnsi="Arial" w:cs="Times New Roman"/>
      <w:sz w:val="36"/>
      <w:szCs w:val="20"/>
      <w:lang w:eastAsia="ja-JP"/>
    </w:rPr>
  </w:style>
  <w:style w:type="paragraph" w:styleId="TOC8">
    <w:name w:val="toc 8"/>
    <w:basedOn w:val="TOC1"/>
    <w:uiPriority w:val="39"/>
    <w:rsid w:val="006E589C"/>
    <w:pPr>
      <w:spacing w:before="180"/>
      <w:ind w:left="2693" w:hanging="2693"/>
    </w:pPr>
    <w:rPr>
      <w:b/>
    </w:rPr>
  </w:style>
  <w:style w:type="paragraph" w:styleId="TOC1">
    <w:name w:val="toc 1"/>
    <w:uiPriority w:val="39"/>
    <w:rsid w:val="006E589C"/>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ja-JP"/>
    </w:rPr>
  </w:style>
  <w:style w:type="paragraph" w:customStyle="1" w:styleId="Figure">
    <w:name w:val="Figure"/>
    <w:basedOn w:val="Normal"/>
    <w:next w:val="Caption"/>
    <w:rsid w:val="006E589C"/>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6E589C"/>
    <w:pPr>
      <w:spacing w:before="120" w:after="120"/>
    </w:pPr>
    <w:rPr>
      <w:b/>
      <w:lang w:eastAsia="en-GB"/>
    </w:rPr>
  </w:style>
  <w:style w:type="paragraph" w:styleId="TOC5">
    <w:name w:val="toc 5"/>
    <w:basedOn w:val="TOC4"/>
    <w:uiPriority w:val="39"/>
    <w:rsid w:val="006E589C"/>
    <w:pPr>
      <w:ind w:left="1701" w:hanging="1701"/>
    </w:pPr>
  </w:style>
  <w:style w:type="paragraph" w:styleId="TOC4">
    <w:name w:val="toc 4"/>
    <w:basedOn w:val="TOC3"/>
    <w:uiPriority w:val="39"/>
    <w:rsid w:val="006E589C"/>
    <w:pPr>
      <w:ind w:left="1418" w:hanging="1418"/>
    </w:pPr>
  </w:style>
  <w:style w:type="paragraph" w:styleId="TOC3">
    <w:name w:val="toc 3"/>
    <w:basedOn w:val="TOC2"/>
    <w:uiPriority w:val="39"/>
    <w:rsid w:val="006E589C"/>
    <w:pPr>
      <w:ind w:left="1134" w:hanging="1134"/>
    </w:pPr>
  </w:style>
  <w:style w:type="paragraph" w:styleId="TOC2">
    <w:name w:val="toc 2"/>
    <w:basedOn w:val="TOC1"/>
    <w:uiPriority w:val="39"/>
    <w:rsid w:val="006E589C"/>
    <w:pPr>
      <w:keepNext w:val="0"/>
      <w:spacing w:before="0"/>
      <w:ind w:left="851" w:hanging="851"/>
    </w:pPr>
    <w:rPr>
      <w:sz w:val="20"/>
    </w:rPr>
  </w:style>
  <w:style w:type="paragraph" w:styleId="Index2">
    <w:name w:val="index 2"/>
    <w:basedOn w:val="Index1"/>
    <w:rsid w:val="006E589C"/>
    <w:pPr>
      <w:ind w:left="284"/>
    </w:pPr>
  </w:style>
  <w:style w:type="paragraph" w:styleId="Index1">
    <w:name w:val="index 1"/>
    <w:basedOn w:val="Normal"/>
    <w:rsid w:val="006E589C"/>
    <w:pPr>
      <w:keepLines/>
      <w:spacing w:after="0"/>
    </w:pPr>
  </w:style>
  <w:style w:type="paragraph" w:styleId="DocumentMap">
    <w:name w:val="Document Map"/>
    <w:basedOn w:val="Normal"/>
    <w:link w:val="DocumentMapChar"/>
    <w:rsid w:val="006E589C"/>
    <w:pPr>
      <w:shd w:val="clear" w:color="auto" w:fill="000080"/>
    </w:pPr>
    <w:rPr>
      <w:rFonts w:ascii="Tahoma" w:hAnsi="Tahoma" w:cs="Tahoma"/>
    </w:rPr>
  </w:style>
  <w:style w:type="character" w:customStyle="1" w:styleId="DocumentMapChar">
    <w:name w:val="Document Map Char"/>
    <w:basedOn w:val="DefaultParagraphFont"/>
    <w:link w:val="DocumentMap"/>
    <w:rsid w:val="006E589C"/>
    <w:rPr>
      <w:rFonts w:ascii="Tahoma" w:hAnsi="Tahoma" w:cs="Tahoma"/>
      <w:sz w:val="20"/>
      <w:shd w:val="clear" w:color="auto" w:fill="000080"/>
      <w:lang w:val="en-US"/>
    </w:rPr>
  </w:style>
  <w:style w:type="paragraph" w:styleId="ListNumber2">
    <w:name w:val="List Number 2"/>
    <w:basedOn w:val="ListNumber"/>
    <w:rsid w:val="006E589C"/>
    <w:pPr>
      <w:numPr>
        <w:numId w:val="22"/>
      </w:numPr>
    </w:pPr>
  </w:style>
  <w:style w:type="paragraph" w:styleId="ListNumber">
    <w:name w:val="List Number"/>
    <w:basedOn w:val="List"/>
    <w:rsid w:val="006E589C"/>
    <w:pPr>
      <w:numPr>
        <w:numId w:val="21"/>
      </w:numPr>
    </w:pPr>
    <w:rPr>
      <w:lang w:eastAsia="ja-JP"/>
    </w:rPr>
  </w:style>
  <w:style w:type="paragraph" w:styleId="List">
    <w:name w:val="List"/>
    <w:basedOn w:val="BodyText"/>
    <w:rsid w:val="006E589C"/>
    <w:pPr>
      <w:ind w:left="568" w:hanging="284"/>
    </w:pPr>
  </w:style>
  <w:style w:type="paragraph" w:styleId="Header">
    <w:name w:val="header"/>
    <w:link w:val="HeaderChar"/>
    <w:rsid w:val="006E589C"/>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basedOn w:val="DefaultParagraphFont"/>
    <w:link w:val="Header"/>
    <w:rsid w:val="006E589C"/>
    <w:rPr>
      <w:rFonts w:ascii="Arial" w:eastAsia="Times New Roman" w:hAnsi="Arial" w:cs="Times New Roman"/>
      <w:b/>
      <w:noProof/>
      <w:sz w:val="18"/>
      <w:szCs w:val="20"/>
      <w:lang w:eastAsia="ja-JP"/>
    </w:rPr>
  </w:style>
  <w:style w:type="character" w:styleId="FootnoteReference">
    <w:name w:val="footnote reference"/>
    <w:uiPriority w:val="99"/>
    <w:rsid w:val="006E589C"/>
    <w:rPr>
      <w:b/>
      <w:position w:val="6"/>
      <w:sz w:val="16"/>
    </w:rPr>
  </w:style>
  <w:style w:type="paragraph" w:styleId="FootnoteText">
    <w:name w:val="footnote text"/>
    <w:basedOn w:val="Normal"/>
    <w:link w:val="FootnoteTextChar"/>
    <w:uiPriority w:val="99"/>
    <w:rsid w:val="006E589C"/>
    <w:pPr>
      <w:keepLines/>
      <w:spacing w:after="0"/>
      <w:ind w:left="454" w:hanging="454"/>
    </w:pPr>
    <w:rPr>
      <w:sz w:val="16"/>
    </w:rPr>
  </w:style>
  <w:style w:type="character" w:customStyle="1" w:styleId="FootnoteTextChar">
    <w:name w:val="Footnote Text Char"/>
    <w:basedOn w:val="DefaultParagraphFont"/>
    <w:link w:val="FootnoteText"/>
    <w:uiPriority w:val="99"/>
    <w:rsid w:val="006E589C"/>
    <w:rPr>
      <w:rFonts w:ascii="Arial" w:hAnsi="Arial"/>
      <w:sz w:val="16"/>
      <w:lang w:val="en-US"/>
    </w:rPr>
  </w:style>
  <w:style w:type="paragraph" w:customStyle="1" w:styleId="3GPPHeader">
    <w:name w:val="3GPP_Header"/>
    <w:basedOn w:val="BodyText"/>
    <w:rsid w:val="006E589C"/>
    <w:pPr>
      <w:tabs>
        <w:tab w:val="left" w:pos="1701"/>
        <w:tab w:val="right" w:pos="9639"/>
      </w:tabs>
      <w:spacing w:after="240"/>
    </w:pPr>
    <w:rPr>
      <w:b/>
      <w:sz w:val="24"/>
    </w:rPr>
  </w:style>
  <w:style w:type="paragraph" w:styleId="TOC9">
    <w:name w:val="toc 9"/>
    <w:basedOn w:val="TOC8"/>
    <w:uiPriority w:val="39"/>
    <w:rsid w:val="006E589C"/>
    <w:pPr>
      <w:ind w:left="1418" w:hanging="1418"/>
    </w:pPr>
  </w:style>
  <w:style w:type="paragraph" w:styleId="TOC6">
    <w:name w:val="toc 6"/>
    <w:basedOn w:val="TOC5"/>
    <w:next w:val="Normal"/>
    <w:uiPriority w:val="39"/>
    <w:rsid w:val="006E589C"/>
    <w:pPr>
      <w:ind w:left="1985" w:hanging="1985"/>
    </w:pPr>
  </w:style>
  <w:style w:type="paragraph" w:styleId="TOC7">
    <w:name w:val="toc 7"/>
    <w:basedOn w:val="TOC6"/>
    <w:next w:val="Normal"/>
    <w:uiPriority w:val="39"/>
    <w:rsid w:val="006E589C"/>
    <w:pPr>
      <w:ind w:left="2268" w:hanging="2268"/>
    </w:pPr>
  </w:style>
  <w:style w:type="paragraph" w:styleId="ListBullet2">
    <w:name w:val="List Bullet 2"/>
    <w:basedOn w:val="ListBullet"/>
    <w:rsid w:val="006E589C"/>
    <w:pPr>
      <w:numPr>
        <w:numId w:val="17"/>
      </w:numPr>
    </w:pPr>
  </w:style>
  <w:style w:type="paragraph" w:styleId="ListBullet">
    <w:name w:val="List Bullet"/>
    <w:basedOn w:val="List"/>
    <w:rsid w:val="006E589C"/>
    <w:pPr>
      <w:numPr>
        <w:numId w:val="16"/>
      </w:numPr>
    </w:pPr>
    <w:rPr>
      <w:lang w:eastAsia="ja-JP"/>
    </w:rPr>
  </w:style>
  <w:style w:type="paragraph" w:styleId="ListBullet3">
    <w:name w:val="List Bullet 3"/>
    <w:basedOn w:val="ListBullet2"/>
    <w:rsid w:val="006E589C"/>
    <w:pPr>
      <w:numPr>
        <w:numId w:val="18"/>
      </w:numPr>
    </w:pPr>
  </w:style>
  <w:style w:type="paragraph" w:customStyle="1" w:styleId="EQ">
    <w:name w:val="EQ"/>
    <w:basedOn w:val="Normal"/>
    <w:next w:val="Normal"/>
    <w:rsid w:val="006E589C"/>
    <w:pPr>
      <w:keepLines/>
      <w:tabs>
        <w:tab w:val="center" w:pos="4536"/>
        <w:tab w:val="right" w:pos="9072"/>
      </w:tabs>
    </w:pPr>
    <w:rPr>
      <w:noProof/>
    </w:rPr>
  </w:style>
  <w:style w:type="paragraph" w:styleId="List2">
    <w:name w:val="List 2"/>
    <w:basedOn w:val="List"/>
    <w:rsid w:val="006E589C"/>
    <w:pPr>
      <w:ind w:left="851"/>
    </w:pPr>
    <w:rPr>
      <w:lang w:eastAsia="ja-JP"/>
    </w:rPr>
  </w:style>
  <w:style w:type="paragraph" w:styleId="List3">
    <w:name w:val="List 3"/>
    <w:basedOn w:val="List2"/>
    <w:rsid w:val="006E589C"/>
    <w:pPr>
      <w:ind w:left="1135"/>
    </w:pPr>
  </w:style>
  <w:style w:type="paragraph" w:styleId="List4">
    <w:name w:val="List 4"/>
    <w:basedOn w:val="List3"/>
    <w:rsid w:val="006E589C"/>
    <w:pPr>
      <w:ind w:left="1418"/>
    </w:pPr>
  </w:style>
  <w:style w:type="paragraph" w:styleId="List5">
    <w:name w:val="List 5"/>
    <w:basedOn w:val="List4"/>
    <w:rsid w:val="006E589C"/>
    <w:pPr>
      <w:ind w:left="1702"/>
    </w:pPr>
  </w:style>
  <w:style w:type="paragraph" w:customStyle="1" w:styleId="EditorsNote">
    <w:name w:val="Editor's Note"/>
    <w:basedOn w:val="NO"/>
    <w:link w:val="EditorsNoteChar"/>
    <w:rsid w:val="006E589C"/>
    <w:rPr>
      <w:color w:val="FF0000"/>
      <w:lang w:val="x-none" w:eastAsia="x-none"/>
    </w:rPr>
  </w:style>
  <w:style w:type="paragraph" w:styleId="ListBullet4">
    <w:name w:val="List Bullet 4"/>
    <w:basedOn w:val="ListBullet3"/>
    <w:rsid w:val="006E589C"/>
    <w:pPr>
      <w:numPr>
        <w:numId w:val="19"/>
      </w:numPr>
    </w:pPr>
  </w:style>
  <w:style w:type="paragraph" w:styleId="ListBullet5">
    <w:name w:val="List Bullet 5"/>
    <w:basedOn w:val="ListBullet4"/>
    <w:rsid w:val="006E589C"/>
    <w:pPr>
      <w:numPr>
        <w:numId w:val="20"/>
      </w:numPr>
    </w:pPr>
  </w:style>
  <w:style w:type="paragraph" w:styleId="Footer">
    <w:name w:val="footer"/>
    <w:basedOn w:val="Header"/>
    <w:link w:val="FooterChar"/>
    <w:rsid w:val="006E589C"/>
    <w:pPr>
      <w:jc w:val="center"/>
    </w:pPr>
    <w:rPr>
      <w:i/>
    </w:rPr>
  </w:style>
  <w:style w:type="character" w:customStyle="1" w:styleId="FooterChar">
    <w:name w:val="Footer Char"/>
    <w:basedOn w:val="DefaultParagraphFont"/>
    <w:link w:val="Footer"/>
    <w:rsid w:val="006E589C"/>
    <w:rPr>
      <w:rFonts w:ascii="Arial" w:eastAsia="Times New Roman" w:hAnsi="Arial" w:cs="Times New Roman"/>
      <w:b/>
      <w:i/>
      <w:noProof/>
      <w:sz w:val="18"/>
      <w:szCs w:val="20"/>
      <w:lang w:eastAsia="ja-JP"/>
    </w:rPr>
  </w:style>
  <w:style w:type="paragraph" w:customStyle="1" w:styleId="Reference">
    <w:name w:val="Reference"/>
    <w:basedOn w:val="BodyText"/>
    <w:rsid w:val="006E589C"/>
    <w:pPr>
      <w:numPr>
        <w:numId w:val="2"/>
      </w:numPr>
    </w:pPr>
  </w:style>
  <w:style w:type="paragraph" w:styleId="BalloonText">
    <w:name w:val="Balloon Text"/>
    <w:basedOn w:val="Normal"/>
    <w:link w:val="BalloonTextChar"/>
    <w:rsid w:val="006E589C"/>
    <w:pPr>
      <w:spacing w:after="0"/>
    </w:pPr>
    <w:rPr>
      <w:rFonts w:ascii="Segoe UI" w:hAnsi="Segoe UI" w:cs="Segoe UI"/>
      <w:sz w:val="18"/>
      <w:szCs w:val="18"/>
    </w:rPr>
  </w:style>
  <w:style w:type="character" w:customStyle="1" w:styleId="BalloonTextChar">
    <w:name w:val="Balloon Text Char"/>
    <w:basedOn w:val="DefaultParagraphFont"/>
    <w:link w:val="BalloonText"/>
    <w:rsid w:val="006E589C"/>
    <w:rPr>
      <w:rFonts w:ascii="Segoe UI" w:hAnsi="Segoe UI" w:cs="Segoe UI"/>
      <w:sz w:val="18"/>
      <w:szCs w:val="18"/>
      <w:lang w:val="en-US"/>
    </w:rPr>
  </w:style>
  <w:style w:type="character" w:styleId="PageNumber">
    <w:name w:val="page number"/>
    <w:basedOn w:val="DefaultParagraphFont"/>
    <w:rsid w:val="006E589C"/>
  </w:style>
  <w:style w:type="paragraph" w:styleId="BodyText">
    <w:name w:val="Body Text"/>
    <w:basedOn w:val="Normal"/>
    <w:link w:val="BodyTextChar"/>
    <w:rsid w:val="006E589C"/>
    <w:pPr>
      <w:spacing w:after="120"/>
      <w:jc w:val="both"/>
    </w:pPr>
    <w:rPr>
      <w:lang w:eastAsia="zh-CN"/>
    </w:rPr>
  </w:style>
  <w:style w:type="character" w:customStyle="1" w:styleId="BodyTextChar">
    <w:name w:val="Body Text Char"/>
    <w:basedOn w:val="DefaultParagraphFont"/>
    <w:link w:val="BodyText"/>
    <w:rsid w:val="006E589C"/>
    <w:rPr>
      <w:rFonts w:ascii="Arial" w:hAnsi="Arial"/>
      <w:sz w:val="20"/>
      <w:lang w:val="en-US" w:eastAsia="zh-CN"/>
    </w:rPr>
  </w:style>
  <w:style w:type="character" w:styleId="Hyperlink">
    <w:name w:val="Hyperlink"/>
    <w:uiPriority w:val="99"/>
    <w:rsid w:val="006E589C"/>
    <w:rPr>
      <w:color w:val="0000FF"/>
      <w:u w:val="single"/>
    </w:rPr>
  </w:style>
  <w:style w:type="character" w:styleId="FollowedHyperlink">
    <w:name w:val="FollowedHyperlink"/>
    <w:unhideWhenUsed/>
    <w:rsid w:val="006E589C"/>
    <w:rPr>
      <w:color w:val="800080"/>
      <w:u w:val="single"/>
    </w:rPr>
  </w:style>
  <w:style w:type="character" w:styleId="CommentReference">
    <w:name w:val="annotation reference"/>
    <w:uiPriority w:val="99"/>
    <w:qFormat/>
    <w:rsid w:val="006E589C"/>
    <w:rPr>
      <w:sz w:val="16"/>
      <w:szCs w:val="16"/>
    </w:rPr>
  </w:style>
  <w:style w:type="paragraph" w:styleId="CommentText">
    <w:name w:val="annotation text"/>
    <w:basedOn w:val="Normal"/>
    <w:link w:val="CommentTextChar"/>
    <w:uiPriority w:val="99"/>
    <w:qFormat/>
    <w:rsid w:val="006E589C"/>
  </w:style>
  <w:style w:type="character" w:customStyle="1" w:styleId="CommentTextChar">
    <w:name w:val="Comment Text Char"/>
    <w:basedOn w:val="DefaultParagraphFont"/>
    <w:link w:val="CommentText"/>
    <w:uiPriority w:val="99"/>
    <w:qFormat/>
    <w:rsid w:val="006E589C"/>
    <w:rPr>
      <w:rFonts w:ascii="Arial" w:hAnsi="Arial"/>
      <w:sz w:val="20"/>
      <w:lang w:val="en-US"/>
    </w:rPr>
  </w:style>
  <w:style w:type="paragraph" w:styleId="CommentSubject">
    <w:name w:val="annotation subject"/>
    <w:basedOn w:val="CommentText"/>
    <w:next w:val="CommentText"/>
    <w:link w:val="CommentSubjectChar"/>
    <w:rsid w:val="006E589C"/>
    <w:rPr>
      <w:b/>
      <w:bCs/>
    </w:rPr>
  </w:style>
  <w:style w:type="character" w:customStyle="1" w:styleId="CommentSubjectChar">
    <w:name w:val="Comment Subject Char"/>
    <w:basedOn w:val="CommentTextChar"/>
    <w:link w:val="CommentSubject"/>
    <w:rsid w:val="006E589C"/>
    <w:rPr>
      <w:rFonts w:ascii="Arial" w:hAnsi="Arial"/>
      <w:b/>
      <w:bCs/>
      <w:sz w:val="20"/>
      <w:lang w:val="en-US"/>
    </w:rPr>
  </w:style>
  <w:style w:type="paragraph" w:customStyle="1" w:styleId="B1">
    <w:name w:val="B1"/>
    <w:basedOn w:val="List"/>
    <w:link w:val="B1Char1"/>
    <w:rsid w:val="006E589C"/>
    <w:rPr>
      <w:rFonts w:ascii="Times New Roman" w:hAnsi="Times New Roman"/>
    </w:rPr>
  </w:style>
  <w:style w:type="paragraph" w:customStyle="1" w:styleId="B2">
    <w:name w:val="B2"/>
    <w:basedOn w:val="List2"/>
    <w:link w:val="B2Char"/>
    <w:rsid w:val="006E589C"/>
    <w:rPr>
      <w:rFonts w:ascii="Times New Roman" w:hAnsi="Times New Roman"/>
    </w:rPr>
  </w:style>
  <w:style w:type="paragraph" w:customStyle="1" w:styleId="B3">
    <w:name w:val="B3"/>
    <w:basedOn w:val="List3"/>
    <w:link w:val="B3Char2"/>
    <w:rsid w:val="006E589C"/>
    <w:rPr>
      <w:rFonts w:ascii="Times New Roman" w:hAnsi="Times New Roman"/>
    </w:rPr>
  </w:style>
  <w:style w:type="paragraph" w:customStyle="1" w:styleId="B4">
    <w:name w:val="B4"/>
    <w:basedOn w:val="List4"/>
    <w:link w:val="B4Char"/>
    <w:rsid w:val="006E589C"/>
    <w:rPr>
      <w:rFonts w:ascii="Times New Roman" w:hAnsi="Times New Roman"/>
    </w:rPr>
  </w:style>
  <w:style w:type="paragraph" w:customStyle="1" w:styleId="Proposal">
    <w:name w:val="Proposal"/>
    <w:basedOn w:val="BodyText"/>
    <w:qFormat/>
    <w:rsid w:val="006E589C"/>
    <w:pPr>
      <w:numPr>
        <w:numId w:val="3"/>
      </w:numPr>
      <w:tabs>
        <w:tab w:val="clear" w:pos="1304"/>
        <w:tab w:val="left" w:pos="1701"/>
      </w:tabs>
      <w:ind w:left="1701" w:hanging="1701"/>
    </w:pPr>
    <w:rPr>
      <w:b/>
      <w:bCs/>
    </w:rPr>
  </w:style>
  <w:style w:type="paragraph" w:customStyle="1" w:styleId="B5">
    <w:name w:val="B5"/>
    <w:basedOn w:val="List5"/>
    <w:link w:val="B5Char"/>
    <w:rsid w:val="006E589C"/>
    <w:rPr>
      <w:rFonts w:ascii="Times New Roman" w:hAnsi="Times New Roman"/>
    </w:rPr>
  </w:style>
  <w:style w:type="paragraph" w:customStyle="1" w:styleId="EX">
    <w:name w:val="EX"/>
    <w:basedOn w:val="Normal"/>
    <w:rsid w:val="006E589C"/>
    <w:pPr>
      <w:keepLines/>
      <w:ind w:left="1702" w:hanging="1418"/>
    </w:pPr>
  </w:style>
  <w:style w:type="paragraph" w:customStyle="1" w:styleId="EW">
    <w:name w:val="EW"/>
    <w:basedOn w:val="EX"/>
    <w:rsid w:val="006E589C"/>
    <w:pPr>
      <w:spacing w:after="0"/>
    </w:pPr>
  </w:style>
  <w:style w:type="paragraph" w:customStyle="1" w:styleId="TAL">
    <w:name w:val="TAL"/>
    <w:basedOn w:val="Normal"/>
    <w:link w:val="TALCar"/>
    <w:qFormat/>
    <w:rsid w:val="006E589C"/>
    <w:pPr>
      <w:keepNext/>
      <w:keepLines/>
      <w:spacing w:after="0"/>
    </w:pPr>
    <w:rPr>
      <w:sz w:val="18"/>
      <w:lang w:val="x-none" w:eastAsia="x-none"/>
    </w:rPr>
  </w:style>
  <w:style w:type="paragraph" w:customStyle="1" w:styleId="TAC">
    <w:name w:val="TAC"/>
    <w:basedOn w:val="TAL"/>
    <w:rsid w:val="006E589C"/>
    <w:pPr>
      <w:jc w:val="center"/>
    </w:pPr>
  </w:style>
  <w:style w:type="paragraph" w:customStyle="1" w:styleId="TAH">
    <w:name w:val="TAH"/>
    <w:basedOn w:val="TAC"/>
    <w:link w:val="TAHCar"/>
    <w:qFormat/>
    <w:rsid w:val="006E589C"/>
    <w:rPr>
      <w:b/>
    </w:rPr>
  </w:style>
  <w:style w:type="paragraph" w:customStyle="1" w:styleId="TAN">
    <w:name w:val="TAN"/>
    <w:basedOn w:val="TAL"/>
    <w:rsid w:val="006E589C"/>
    <w:pPr>
      <w:ind w:left="851" w:hanging="851"/>
    </w:pPr>
  </w:style>
  <w:style w:type="paragraph" w:customStyle="1" w:styleId="TAR">
    <w:name w:val="TAR"/>
    <w:basedOn w:val="TAL"/>
    <w:rsid w:val="006E589C"/>
    <w:pPr>
      <w:jc w:val="right"/>
    </w:pPr>
  </w:style>
  <w:style w:type="paragraph" w:customStyle="1" w:styleId="TH">
    <w:name w:val="TH"/>
    <w:basedOn w:val="Normal"/>
    <w:link w:val="THChar"/>
    <w:rsid w:val="006E589C"/>
    <w:pPr>
      <w:keepNext/>
      <w:keepLines/>
      <w:spacing w:before="60"/>
      <w:jc w:val="center"/>
    </w:pPr>
    <w:rPr>
      <w:b/>
      <w:lang w:val="x-none" w:eastAsia="x-none"/>
    </w:rPr>
  </w:style>
  <w:style w:type="paragraph" w:customStyle="1" w:styleId="TF">
    <w:name w:val="TF"/>
    <w:basedOn w:val="TH"/>
    <w:link w:val="TFChar"/>
    <w:rsid w:val="006E589C"/>
    <w:pPr>
      <w:keepNext w:val="0"/>
      <w:spacing w:before="0" w:after="240"/>
    </w:pPr>
  </w:style>
  <w:style w:type="paragraph" w:customStyle="1" w:styleId="TT">
    <w:name w:val="TT"/>
    <w:basedOn w:val="Heading1"/>
    <w:next w:val="Normal"/>
    <w:rsid w:val="006E589C"/>
    <w:pPr>
      <w:outlineLvl w:val="9"/>
    </w:pPr>
  </w:style>
  <w:style w:type="paragraph" w:customStyle="1" w:styleId="ZA">
    <w:name w:val="ZA"/>
    <w:rsid w:val="006E589C"/>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ja-JP"/>
    </w:rPr>
  </w:style>
  <w:style w:type="paragraph" w:customStyle="1" w:styleId="ZB">
    <w:name w:val="ZB"/>
    <w:rsid w:val="006E589C"/>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ja-JP"/>
    </w:rPr>
  </w:style>
  <w:style w:type="paragraph" w:customStyle="1" w:styleId="ZD">
    <w:name w:val="ZD"/>
    <w:rsid w:val="006E589C"/>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ja-JP"/>
    </w:rPr>
  </w:style>
  <w:style w:type="paragraph" w:customStyle="1" w:styleId="ZG">
    <w:name w:val="ZG"/>
    <w:rsid w:val="006E589C"/>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character" w:customStyle="1" w:styleId="ZGSM">
    <w:name w:val="ZGSM"/>
    <w:rsid w:val="006E589C"/>
  </w:style>
  <w:style w:type="paragraph" w:customStyle="1" w:styleId="ZH">
    <w:name w:val="ZH"/>
    <w:rsid w:val="006E589C"/>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ja-JP"/>
    </w:rPr>
  </w:style>
  <w:style w:type="paragraph" w:customStyle="1" w:styleId="ZT">
    <w:name w:val="ZT"/>
    <w:rsid w:val="006E589C"/>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ja-JP"/>
    </w:rPr>
  </w:style>
  <w:style w:type="paragraph" w:customStyle="1" w:styleId="ZTD">
    <w:name w:val="ZTD"/>
    <w:basedOn w:val="ZB"/>
    <w:rsid w:val="006E589C"/>
    <w:pPr>
      <w:framePr w:hRule="auto" w:wrap="notBeside" w:y="852"/>
    </w:pPr>
    <w:rPr>
      <w:i w:val="0"/>
      <w:sz w:val="40"/>
    </w:rPr>
  </w:style>
  <w:style w:type="paragraph" w:customStyle="1" w:styleId="ZU">
    <w:name w:val="ZU"/>
    <w:rsid w:val="006E589C"/>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paragraph" w:customStyle="1" w:styleId="ZV">
    <w:name w:val="ZV"/>
    <w:basedOn w:val="ZU"/>
    <w:rsid w:val="006E589C"/>
    <w:pPr>
      <w:framePr w:wrap="notBeside" w:y="16161"/>
    </w:pPr>
  </w:style>
  <w:style w:type="paragraph" w:customStyle="1" w:styleId="FP">
    <w:name w:val="FP"/>
    <w:basedOn w:val="Normal"/>
    <w:rsid w:val="006E589C"/>
    <w:pPr>
      <w:spacing w:after="0"/>
    </w:pPr>
  </w:style>
  <w:style w:type="paragraph" w:customStyle="1" w:styleId="Observation">
    <w:name w:val="Observation"/>
    <w:basedOn w:val="Proposal"/>
    <w:qFormat/>
    <w:rsid w:val="006E589C"/>
    <w:pPr>
      <w:numPr>
        <w:numId w:val="13"/>
      </w:numPr>
    </w:pPr>
    <w:rPr>
      <w:lang w:eastAsia="ja-JP"/>
    </w:rPr>
  </w:style>
  <w:style w:type="paragraph" w:styleId="TableofFigures">
    <w:name w:val="table of figures"/>
    <w:basedOn w:val="BodyText"/>
    <w:next w:val="Normal"/>
    <w:uiPriority w:val="99"/>
    <w:rsid w:val="006E589C"/>
    <w:pPr>
      <w:ind w:left="1701" w:hanging="1701"/>
      <w:jc w:val="left"/>
    </w:pPr>
    <w:rPr>
      <w:b/>
    </w:rPr>
  </w:style>
  <w:style w:type="character" w:customStyle="1" w:styleId="B1Char1">
    <w:name w:val="B1 Char1"/>
    <w:link w:val="B1"/>
    <w:qFormat/>
    <w:rsid w:val="006E589C"/>
    <w:rPr>
      <w:rFonts w:ascii="Times New Roman" w:hAnsi="Times New Roman"/>
      <w:sz w:val="20"/>
      <w:lang w:val="en-US" w:eastAsia="zh-CN"/>
    </w:rPr>
  </w:style>
  <w:style w:type="character" w:customStyle="1" w:styleId="B2Char">
    <w:name w:val="B2 Char"/>
    <w:link w:val="B2"/>
    <w:qFormat/>
    <w:rsid w:val="006E589C"/>
    <w:rPr>
      <w:rFonts w:ascii="Times New Roman" w:hAnsi="Times New Roman"/>
      <w:sz w:val="20"/>
      <w:lang w:val="en-US" w:eastAsia="ja-JP"/>
    </w:rPr>
  </w:style>
  <w:style w:type="character" w:customStyle="1" w:styleId="B3Char2">
    <w:name w:val="B3 Char2"/>
    <w:link w:val="B3"/>
    <w:qFormat/>
    <w:rsid w:val="006E589C"/>
    <w:rPr>
      <w:rFonts w:ascii="Times New Roman" w:hAnsi="Times New Roman"/>
      <w:sz w:val="20"/>
      <w:lang w:val="en-US" w:eastAsia="ja-JP"/>
    </w:rPr>
  </w:style>
  <w:style w:type="character" w:customStyle="1" w:styleId="B4Char">
    <w:name w:val="B4 Char"/>
    <w:link w:val="B4"/>
    <w:rsid w:val="006E589C"/>
    <w:rPr>
      <w:rFonts w:ascii="Times New Roman" w:hAnsi="Times New Roman"/>
      <w:sz w:val="20"/>
      <w:lang w:val="en-US" w:eastAsia="ja-JP"/>
    </w:rPr>
  </w:style>
  <w:style w:type="character" w:customStyle="1" w:styleId="B5Char">
    <w:name w:val="B5 Char"/>
    <w:link w:val="B5"/>
    <w:rsid w:val="006E589C"/>
    <w:rPr>
      <w:rFonts w:ascii="Times New Roman" w:hAnsi="Times New Roman"/>
      <w:sz w:val="20"/>
      <w:lang w:val="en-US" w:eastAsia="ja-JP"/>
    </w:rPr>
  </w:style>
  <w:style w:type="paragraph" w:customStyle="1" w:styleId="B6">
    <w:name w:val="B6"/>
    <w:basedOn w:val="B5"/>
    <w:link w:val="B6Char"/>
    <w:rsid w:val="006E589C"/>
    <w:pPr>
      <w:ind w:left="1985"/>
    </w:pPr>
  </w:style>
  <w:style w:type="character" w:customStyle="1" w:styleId="B6Char">
    <w:name w:val="B6 Char"/>
    <w:link w:val="B6"/>
    <w:rsid w:val="006E589C"/>
    <w:rPr>
      <w:rFonts w:ascii="Times New Roman" w:hAnsi="Times New Roman"/>
      <w:sz w:val="20"/>
      <w:lang w:val="en-US" w:eastAsia="ja-JP"/>
    </w:rPr>
  </w:style>
  <w:style w:type="paragraph" w:customStyle="1" w:styleId="B7">
    <w:name w:val="B7"/>
    <w:basedOn w:val="B6"/>
    <w:link w:val="B7Char"/>
    <w:rsid w:val="006E589C"/>
    <w:pPr>
      <w:ind w:left="2269"/>
    </w:pPr>
  </w:style>
  <w:style w:type="character" w:customStyle="1" w:styleId="B7Char">
    <w:name w:val="B7 Char"/>
    <w:basedOn w:val="B6Char"/>
    <w:link w:val="B7"/>
    <w:rsid w:val="006E589C"/>
    <w:rPr>
      <w:rFonts w:ascii="Times New Roman" w:hAnsi="Times New Roman"/>
      <w:sz w:val="20"/>
      <w:lang w:val="en-US" w:eastAsia="ja-JP"/>
    </w:rPr>
  </w:style>
  <w:style w:type="paragraph" w:customStyle="1" w:styleId="B8">
    <w:name w:val="B8"/>
    <w:basedOn w:val="B7"/>
    <w:qFormat/>
    <w:rsid w:val="006E589C"/>
    <w:pPr>
      <w:ind w:left="2552"/>
    </w:pPr>
  </w:style>
  <w:style w:type="paragraph" w:customStyle="1" w:styleId="CRCoverPage">
    <w:name w:val="CR Cover Page"/>
    <w:link w:val="CRCoverPageZchn"/>
    <w:rsid w:val="006E589C"/>
    <w:pPr>
      <w:spacing w:after="120" w:line="240" w:lineRule="auto"/>
    </w:pPr>
    <w:rPr>
      <w:rFonts w:ascii="Arial" w:eastAsia="Times New Roman" w:hAnsi="Arial" w:cs="Times New Roman"/>
      <w:sz w:val="20"/>
      <w:szCs w:val="20"/>
      <w:lang w:eastAsia="ko-KR"/>
    </w:rPr>
  </w:style>
  <w:style w:type="character" w:customStyle="1" w:styleId="CRCoverPageZchn">
    <w:name w:val="CR Cover Page Zchn"/>
    <w:link w:val="CRCoverPage"/>
    <w:rsid w:val="006E589C"/>
    <w:rPr>
      <w:rFonts w:ascii="Arial" w:eastAsia="Times New Roman" w:hAnsi="Arial" w:cs="Times New Roman"/>
      <w:sz w:val="20"/>
      <w:szCs w:val="20"/>
      <w:lang w:eastAsia="ko-KR"/>
    </w:rPr>
  </w:style>
  <w:style w:type="paragraph" w:customStyle="1" w:styleId="Doc-text2">
    <w:name w:val="Doc-text2"/>
    <w:basedOn w:val="Normal"/>
    <w:link w:val="Doc-text2Char"/>
    <w:qFormat/>
    <w:rsid w:val="006E589C"/>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6E589C"/>
    <w:rPr>
      <w:rFonts w:ascii="Arial" w:eastAsia="MS Mincho" w:hAnsi="Arial"/>
      <w:sz w:val="20"/>
      <w:szCs w:val="24"/>
      <w:lang w:val="x-none" w:eastAsia="x-none"/>
    </w:rPr>
  </w:style>
  <w:style w:type="paragraph" w:customStyle="1" w:styleId="NO">
    <w:name w:val="NO"/>
    <w:basedOn w:val="Normal"/>
    <w:link w:val="NOChar"/>
    <w:rsid w:val="006E589C"/>
    <w:pPr>
      <w:keepLines/>
      <w:ind w:left="1135" w:hanging="851"/>
    </w:pPr>
  </w:style>
  <w:style w:type="character" w:customStyle="1" w:styleId="NOChar">
    <w:name w:val="NO Char"/>
    <w:link w:val="NO"/>
    <w:qFormat/>
    <w:rsid w:val="006E589C"/>
    <w:rPr>
      <w:rFonts w:ascii="Arial" w:hAnsi="Arial"/>
      <w:sz w:val="20"/>
      <w:lang w:val="en-US"/>
    </w:rPr>
  </w:style>
  <w:style w:type="character" w:customStyle="1" w:styleId="EditorsNoteChar">
    <w:name w:val="Editor's Note Char"/>
    <w:link w:val="EditorsNote"/>
    <w:rsid w:val="006E589C"/>
    <w:rPr>
      <w:rFonts w:ascii="Arial" w:hAnsi="Arial"/>
      <w:color w:val="FF0000"/>
      <w:sz w:val="20"/>
      <w:lang w:val="x-none" w:eastAsia="x-none"/>
    </w:rPr>
  </w:style>
  <w:style w:type="paragraph" w:customStyle="1" w:styleId="EmailDiscussion">
    <w:name w:val="EmailDiscussion"/>
    <w:basedOn w:val="Normal"/>
    <w:next w:val="Normal"/>
    <w:rsid w:val="006E589C"/>
    <w:pPr>
      <w:numPr>
        <w:numId w:val="14"/>
      </w:numPr>
      <w:spacing w:before="40" w:after="0"/>
    </w:pPr>
    <w:rPr>
      <w:rFonts w:eastAsia="MS Mincho"/>
      <w:b/>
      <w:szCs w:val="24"/>
      <w:lang w:eastAsia="en-GB"/>
    </w:rPr>
  </w:style>
  <w:style w:type="character" w:styleId="Emphasis">
    <w:name w:val="Emphasis"/>
    <w:uiPriority w:val="20"/>
    <w:qFormat/>
    <w:rsid w:val="006E589C"/>
    <w:rPr>
      <w:i/>
      <w:iCs/>
    </w:rPr>
  </w:style>
  <w:style w:type="paragraph" w:customStyle="1" w:styleId="FigureTitle">
    <w:name w:val="Figure_Title"/>
    <w:basedOn w:val="Normal"/>
    <w:next w:val="Normal"/>
    <w:rsid w:val="006E589C"/>
    <w:pPr>
      <w:keepLines/>
      <w:tabs>
        <w:tab w:val="left" w:pos="794"/>
        <w:tab w:val="left" w:pos="1191"/>
        <w:tab w:val="left" w:pos="1588"/>
        <w:tab w:val="left" w:pos="1985"/>
      </w:tabs>
      <w:spacing w:before="120" w:after="480"/>
      <w:jc w:val="center"/>
    </w:pPr>
    <w:rPr>
      <w:b/>
      <w:sz w:val="24"/>
      <w:lang w:eastAsia="en-GB"/>
    </w:rPr>
  </w:style>
  <w:style w:type="paragraph" w:customStyle="1" w:styleId="Guidance">
    <w:name w:val="Guidance"/>
    <w:basedOn w:val="Normal"/>
    <w:rsid w:val="006E589C"/>
    <w:rPr>
      <w:i/>
      <w:color w:val="0000FF"/>
    </w:rPr>
  </w:style>
  <w:style w:type="paragraph" w:customStyle="1" w:styleId="H6">
    <w:name w:val="H6"/>
    <w:basedOn w:val="Heading5"/>
    <w:next w:val="Normal"/>
    <w:rsid w:val="006E589C"/>
    <w:pPr>
      <w:ind w:left="1985" w:hanging="1985"/>
      <w:outlineLvl w:val="9"/>
    </w:pPr>
    <w:rPr>
      <w:sz w:val="20"/>
    </w:rPr>
  </w:style>
  <w:style w:type="character" w:styleId="HTMLCode">
    <w:name w:val="HTML Code"/>
    <w:uiPriority w:val="99"/>
    <w:unhideWhenUsed/>
    <w:rsid w:val="006E589C"/>
    <w:rPr>
      <w:rFonts w:ascii="Courier New" w:eastAsia="Times New Roman" w:hAnsi="Courier New" w:cs="Courier New"/>
      <w:sz w:val="20"/>
      <w:szCs w:val="20"/>
    </w:rPr>
  </w:style>
  <w:style w:type="paragraph" w:styleId="IndexHeading">
    <w:name w:val="index heading"/>
    <w:basedOn w:val="Normal"/>
    <w:next w:val="Normal"/>
    <w:rsid w:val="006E589C"/>
    <w:pPr>
      <w:pBdr>
        <w:top w:val="single" w:sz="12" w:space="0" w:color="auto"/>
      </w:pBdr>
      <w:spacing w:before="360" w:after="240"/>
    </w:pPr>
    <w:rPr>
      <w:b/>
      <w:i/>
      <w:sz w:val="26"/>
      <w:lang w:eastAsia="en-GB"/>
    </w:rPr>
  </w:style>
  <w:style w:type="paragraph" w:customStyle="1" w:styleId="LD">
    <w:name w:val="LD"/>
    <w:rsid w:val="006E589C"/>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ja-JP"/>
    </w:rPr>
  </w:style>
  <w:style w:type="paragraph" w:styleId="ListParagraph">
    <w:name w:val="List Paragraph"/>
    <w:basedOn w:val="Normal"/>
    <w:link w:val="ListParagraphChar"/>
    <w:uiPriority w:val="34"/>
    <w:qFormat/>
    <w:rsid w:val="006E589C"/>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6E589C"/>
    <w:rPr>
      <w:rFonts w:ascii="Calibri" w:eastAsia="Calibri" w:hAnsi="Calibri"/>
      <w:lang w:val="x-none"/>
    </w:rPr>
  </w:style>
  <w:style w:type="paragraph" w:customStyle="1" w:styleId="NF">
    <w:name w:val="NF"/>
    <w:basedOn w:val="NO"/>
    <w:rsid w:val="006E589C"/>
    <w:pPr>
      <w:keepNext/>
      <w:spacing w:after="0"/>
    </w:pPr>
    <w:rPr>
      <w:sz w:val="18"/>
    </w:rPr>
  </w:style>
  <w:style w:type="paragraph" w:customStyle="1" w:styleId="NW">
    <w:name w:val="NW"/>
    <w:basedOn w:val="NO"/>
    <w:rsid w:val="006E589C"/>
    <w:pPr>
      <w:spacing w:after="0"/>
    </w:pPr>
  </w:style>
  <w:style w:type="paragraph" w:customStyle="1" w:styleId="PL">
    <w:name w:val="PL"/>
    <w:link w:val="PLChar"/>
    <w:qFormat/>
    <w:rsid w:val="006E58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eastAsia="sv-SE"/>
    </w:rPr>
  </w:style>
  <w:style w:type="character" w:customStyle="1" w:styleId="PLChar">
    <w:name w:val="PL Char"/>
    <w:link w:val="PL"/>
    <w:qFormat/>
    <w:rsid w:val="006E589C"/>
    <w:rPr>
      <w:rFonts w:ascii="Courier New" w:eastAsia="Batang" w:hAnsi="Courier New" w:cs="Times New Roman"/>
      <w:noProof/>
      <w:sz w:val="16"/>
      <w:szCs w:val="20"/>
      <w:shd w:val="clear" w:color="auto" w:fill="E6E6E6"/>
      <w:lang w:eastAsia="sv-SE"/>
    </w:rPr>
  </w:style>
  <w:style w:type="paragraph" w:styleId="PlainText">
    <w:name w:val="Plain Text"/>
    <w:basedOn w:val="Normal"/>
    <w:link w:val="PlainTextChar"/>
    <w:rsid w:val="006E589C"/>
    <w:rPr>
      <w:rFonts w:ascii="Courier New" w:hAnsi="Courier New"/>
      <w:lang w:val="nb-NO"/>
    </w:rPr>
  </w:style>
  <w:style w:type="character" w:customStyle="1" w:styleId="PlainTextChar">
    <w:name w:val="Plain Text Char"/>
    <w:basedOn w:val="DefaultParagraphFont"/>
    <w:link w:val="PlainText"/>
    <w:rsid w:val="006E589C"/>
    <w:rPr>
      <w:rFonts w:ascii="Courier New" w:hAnsi="Courier New"/>
      <w:sz w:val="20"/>
      <w:lang w:val="nb-NO"/>
    </w:rPr>
  </w:style>
  <w:style w:type="character" w:styleId="Strong">
    <w:name w:val="Strong"/>
    <w:uiPriority w:val="22"/>
    <w:qFormat/>
    <w:rsid w:val="006E589C"/>
    <w:rPr>
      <w:b/>
      <w:bCs/>
    </w:rPr>
  </w:style>
  <w:style w:type="table" w:styleId="TableGrid">
    <w:name w:val="Table Grid"/>
    <w:basedOn w:val="TableNormal"/>
    <w:rsid w:val="006E589C"/>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6E589C"/>
    <w:rPr>
      <w:rFonts w:ascii="Arial" w:hAnsi="Arial"/>
      <w:sz w:val="18"/>
      <w:lang w:val="x-none" w:eastAsia="x-none"/>
    </w:rPr>
  </w:style>
  <w:style w:type="character" w:customStyle="1" w:styleId="TAHCar">
    <w:name w:val="TAH Car"/>
    <w:link w:val="TAH"/>
    <w:qFormat/>
    <w:locked/>
    <w:rsid w:val="006E589C"/>
    <w:rPr>
      <w:rFonts w:ascii="Arial" w:hAnsi="Arial"/>
      <w:b/>
      <w:sz w:val="18"/>
      <w:lang w:val="x-none" w:eastAsia="x-none"/>
    </w:rPr>
  </w:style>
  <w:style w:type="character" w:customStyle="1" w:styleId="THChar">
    <w:name w:val="TH Char"/>
    <w:link w:val="TH"/>
    <w:rsid w:val="006E589C"/>
    <w:rPr>
      <w:rFonts w:ascii="Arial" w:hAnsi="Arial"/>
      <w:b/>
      <w:sz w:val="20"/>
      <w:lang w:val="x-none" w:eastAsia="x-none"/>
    </w:rPr>
  </w:style>
  <w:style w:type="paragraph" w:customStyle="1" w:styleId="TAJ">
    <w:name w:val="TAJ"/>
    <w:basedOn w:val="TH"/>
    <w:rsid w:val="006E589C"/>
  </w:style>
  <w:style w:type="paragraph" w:customStyle="1" w:styleId="TALCharChar">
    <w:name w:val="TAL Char Char"/>
    <w:basedOn w:val="Normal"/>
    <w:link w:val="TALCharCharChar"/>
    <w:rsid w:val="006E589C"/>
    <w:pPr>
      <w:keepNext/>
      <w:keepLines/>
      <w:spacing w:after="0"/>
    </w:pPr>
    <w:rPr>
      <w:rFonts w:eastAsia="Malgun Gothic"/>
      <w:sz w:val="18"/>
      <w:lang w:val="x-none" w:eastAsia="x-none"/>
    </w:rPr>
  </w:style>
  <w:style w:type="character" w:customStyle="1" w:styleId="TALCharCharChar">
    <w:name w:val="TAL Char Char Char"/>
    <w:link w:val="TALCharChar"/>
    <w:rsid w:val="006E589C"/>
    <w:rPr>
      <w:rFonts w:ascii="Arial" w:eastAsia="Malgun Gothic" w:hAnsi="Arial"/>
      <w:sz w:val="18"/>
      <w:lang w:val="x-none" w:eastAsia="x-none"/>
    </w:rPr>
  </w:style>
  <w:style w:type="character" w:customStyle="1" w:styleId="TFChar">
    <w:name w:val="TF Char"/>
    <w:link w:val="TF"/>
    <w:rsid w:val="006E589C"/>
    <w:rPr>
      <w:rFonts w:ascii="Arial" w:hAnsi="Arial"/>
      <w:b/>
      <w:sz w:val="20"/>
      <w:lang w:val="x-none" w:eastAsia="x-none"/>
    </w:rPr>
  </w:style>
  <w:style w:type="paragraph" w:styleId="ListContinue">
    <w:name w:val="List Continue"/>
    <w:basedOn w:val="Normal"/>
    <w:rsid w:val="006E589C"/>
    <w:pPr>
      <w:spacing w:after="120"/>
      <w:ind w:left="283"/>
      <w:contextualSpacing/>
    </w:pPr>
  </w:style>
  <w:style w:type="paragraph" w:styleId="ListContinue2">
    <w:name w:val="List Continue 2"/>
    <w:basedOn w:val="Normal"/>
    <w:rsid w:val="006E589C"/>
    <w:pPr>
      <w:spacing w:after="120"/>
      <w:ind w:left="566"/>
      <w:contextualSpacing/>
    </w:pPr>
  </w:style>
  <w:style w:type="paragraph" w:styleId="ListNumber3">
    <w:name w:val="List Number 3"/>
    <w:basedOn w:val="ListNumber2"/>
    <w:rsid w:val="006E589C"/>
    <w:pPr>
      <w:numPr>
        <w:numId w:val="10"/>
      </w:numPr>
      <w:contextualSpacing/>
    </w:pPr>
  </w:style>
  <w:style w:type="character" w:styleId="IntenseEmphasis">
    <w:name w:val="Intense Emphasis"/>
    <w:basedOn w:val="DefaultParagraphFont"/>
    <w:uiPriority w:val="21"/>
    <w:qFormat/>
    <w:rsid w:val="006E589C"/>
    <w:rPr>
      <w:i/>
      <w:iCs/>
      <w:color w:val="4472C4" w:themeColor="accent1"/>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locked/>
    <w:rsid w:val="006E589C"/>
    <w:rPr>
      <w:rFonts w:ascii="Arial" w:hAnsi="Arial"/>
      <w:b/>
      <w:sz w:val="20"/>
      <w:lang w:val="en-US" w:eastAsia="en-GB"/>
    </w:rPr>
  </w:style>
  <w:style w:type="character" w:customStyle="1" w:styleId="TALChar">
    <w:name w:val="TAL Char"/>
    <w:qFormat/>
    <w:locked/>
    <w:rsid w:val="006E589C"/>
    <w:rPr>
      <w:rFonts w:ascii="Arial" w:hAnsi="Arial" w:cs="Arial"/>
      <w:sz w:val="18"/>
      <w:lang w:val="x-none"/>
    </w:rPr>
  </w:style>
  <w:style w:type="character" w:styleId="UnresolvedMention">
    <w:name w:val="Unresolved Mention"/>
    <w:basedOn w:val="DefaultParagraphFont"/>
    <w:uiPriority w:val="99"/>
    <w:unhideWhenUsed/>
    <w:rsid w:val="006E589C"/>
    <w:rPr>
      <w:color w:val="605E5C"/>
      <w:shd w:val="clear" w:color="auto" w:fill="E1DFDD"/>
    </w:rPr>
  </w:style>
  <w:style w:type="character" w:styleId="Mention">
    <w:name w:val="Mention"/>
    <w:basedOn w:val="DefaultParagraphFont"/>
    <w:uiPriority w:val="99"/>
    <w:unhideWhenUsed/>
    <w:rsid w:val="006E589C"/>
    <w:rPr>
      <w:color w:val="2B579A"/>
      <w:shd w:val="clear" w:color="auto" w:fill="E1DFDD"/>
    </w:rPr>
  </w:style>
  <w:style w:type="paragraph" w:styleId="Revision">
    <w:name w:val="Revision"/>
    <w:hidden/>
    <w:uiPriority w:val="99"/>
    <w:semiHidden/>
    <w:rsid w:val="006E589C"/>
    <w:pPr>
      <w:spacing w:after="0" w:line="240" w:lineRule="auto"/>
    </w:pPr>
    <w:rPr>
      <w:rFonts w:ascii="Arial" w:hAnsi="Arial"/>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2646937">
      <w:bodyDiv w:val="1"/>
      <w:marLeft w:val="0"/>
      <w:marRight w:val="0"/>
      <w:marTop w:val="0"/>
      <w:marBottom w:val="0"/>
      <w:divBdr>
        <w:top w:val="none" w:sz="0" w:space="0" w:color="auto"/>
        <w:left w:val="none" w:sz="0" w:space="0" w:color="auto"/>
        <w:bottom w:val="none" w:sz="0" w:space="0" w:color="auto"/>
        <w:right w:val="none" w:sz="0" w:space="0" w:color="auto"/>
      </w:divBdr>
    </w:div>
    <w:div w:id="1773623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EFB83EB87098046AC67B1F3547B4DD5" ma:contentTypeVersion="12" ma:contentTypeDescription="Create a new document." ma:contentTypeScope="" ma:versionID="49a0b3c069d6cf4a89f2cf7b45a65f84">
  <xsd:schema xmlns:xsd="http://www.w3.org/2001/XMLSchema" xmlns:xs="http://www.w3.org/2001/XMLSchema" xmlns:p="http://schemas.microsoft.com/office/2006/metadata/properties" xmlns:ns2="ea46cbad-1599-45db-848d-bf907abe0ef3" xmlns:ns3="c3383d4e-9f87-41f6-bb7c-b619c6c37c18" targetNamespace="http://schemas.microsoft.com/office/2006/metadata/properties" ma:root="true" ma:fieldsID="59103f3d4b87e669e365251d0567c8ba" ns2:_="" ns3:_="">
    <xsd:import namespace="ea46cbad-1599-45db-848d-bf907abe0ef3"/>
    <xsd:import namespace="c3383d4e-9f87-41f6-bb7c-b619c6c37c1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46cbad-1599-45db-848d-bf907abe0e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3383d4e-9f87-41f6-bb7c-b619c6c37c18"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E49097-E4FF-4143-A3D6-AC667DB1BE2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6F4545B-066A-4788-9842-6CD6A27B7637}">
  <ds:schemaRefs>
    <ds:schemaRef ds:uri="http://schemas.openxmlformats.org/officeDocument/2006/bibliography"/>
  </ds:schemaRefs>
</ds:datastoreItem>
</file>

<file path=customXml/itemProps3.xml><?xml version="1.0" encoding="utf-8"?>
<ds:datastoreItem xmlns:ds="http://schemas.openxmlformats.org/officeDocument/2006/customXml" ds:itemID="{5A0E228F-DF59-403E-9D90-55C0A67CED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46cbad-1599-45db-848d-bf907abe0ef3"/>
    <ds:schemaRef ds:uri="c3383d4e-9f87-41f6-bb7c-b619c6c37c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383265-86E8-4CD4-A65C-11006B3CD2A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1179</Words>
  <Characters>6724</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Kibutu</dc:creator>
  <cp:keywords/>
  <dc:description/>
  <cp:lastModifiedBy>Peter Kibutu</cp:lastModifiedBy>
  <cp:revision>134</cp:revision>
  <dcterms:created xsi:type="dcterms:W3CDTF">2021-05-07T20:47:00Z</dcterms:created>
  <dcterms:modified xsi:type="dcterms:W3CDTF">2021-05-11T14:49:00Z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0x010100AEFB83EB87098046AC67B1F3547B4DD5</vt:lpwstr>
  </property>
</Properties>
</file>